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DC2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0" w:name="2.10._O_celibato_sacerdotal"/>
      <w:r w:rsidRPr="00E02334">
        <w:rPr>
          <w:rStyle w:val="Strong"/>
          <w:rFonts w:ascii="Times New Roman" w:hAnsi="Times New Roman"/>
          <w:color w:val="000000"/>
          <w:sz w:val="27"/>
          <w:szCs w:val="27"/>
        </w:rPr>
        <w:t>2.10. O celibato sacerdotal</w:t>
      </w:r>
      <w:bookmarkEnd w:id="0"/>
    </w:p>
    <w:p w14:paraId="436FB37C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Style w:val="Emphasis"/>
          <w:rFonts w:ascii="Times New Roman" w:hAnsi="Times New Roman"/>
          <w:color w:val="000000"/>
          <w:sz w:val="27"/>
          <w:szCs w:val="27"/>
        </w:rPr>
        <w:t>Firme vontade da Igreja</w:t>
      </w:r>
    </w:p>
    <w:p w14:paraId="2F4564E1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79. Convencida das profundas motivações teológicas e pastorais que sustentam a relação entre celibato e sacerdócio e iluminada pelo testemunho que, não obstante casos dolorosos e negativos, ainda hoje confirma a sua validade espiritual e evangélica em tantas existências sacerdotais, a Igreja reafirmou no Concílio Vaticano II e repetidamente no sucessivo Magistério Pontifício a «firme vontade de manter a lei que exige o celibato livremente escolhido e perpétuo para os candidatos à ordenação sacerdotal no rito latino»</w:t>
      </w:r>
      <w:r w:rsidRPr="00E02334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1"/>
      </w:r>
      <w:r w:rsidRPr="00E02334">
        <w:rPr>
          <w:rFonts w:ascii="Times New Roman" w:hAnsi="Times New Roman"/>
          <w:color w:val="000000"/>
          <w:sz w:val="27"/>
          <w:szCs w:val="27"/>
        </w:rPr>
        <w:t>.</w:t>
      </w:r>
    </w:p>
    <w:p w14:paraId="143BD47F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O celibato, com efeito, é um dom jubiloso que a Igreja recebeu e quer guardar, convencida de que ele é um bem para ela e para o mundo.</w:t>
      </w:r>
    </w:p>
    <w:p w14:paraId="5653CDEC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Style w:val="Emphasis"/>
          <w:rFonts w:ascii="Times New Roman" w:hAnsi="Times New Roman"/>
          <w:color w:val="000000"/>
          <w:sz w:val="27"/>
          <w:szCs w:val="27"/>
        </w:rPr>
        <w:t>Motivação teológico-espiritual do celibato</w:t>
      </w:r>
    </w:p>
    <w:p w14:paraId="680FC301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80. Como todo valor evangélico, também o celibato consagrado deve ser vivido como dom da misericórdia, como novidade que liberta, como particular testemunho de radicalismo na sequela de Cristo e sinal da realidade escatológica: «o celibato é uma antecipação, tornada possível pela graça do Senhor, que nos “atrai” para Si rumo ao mundo da ressurreição; convida-nos sempre de novo a transcender-nos a nós mesmos, este presente, rumo ao verdadeiro presente do futuro, que hoje se torna presente»</w:t>
      </w:r>
      <w:r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2"/>
      </w:r>
      <w:r w:rsidRPr="00E02334">
        <w:rPr>
          <w:rFonts w:ascii="Times New Roman" w:hAnsi="Times New Roman"/>
          <w:color w:val="000000"/>
          <w:sz w:val="27"/>
          <w:szCs w:val="27"/>
        </w:rPr>
        <w:t>.</w:t>
      </w:r>
    </w:p>
    <w:p w14:paraId="3FB8E943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«Nem todos são capazes de compreender o sentido desta palavra, mas somente aqueles a quem foi dado. Porque há eunucos que o são desde o ventre de suas mães, há eunucos tornados tais pelas mãos dos homens e há eunucos que a si mesmos se fizeram eunucos por amor do Reino dos céus. Quem puder compreender, compreenda (</w:t>
      </w:r>
      <w:proofErr w:type="spellStart"/>
      <w:r w:rsidRPr="00E02334">
        <w:rPr>
          <w:rFonts w:ascii="Times New Roman" w:hAnsi="Times New Roman"/>
          <w:i/>
          <w:iCs/>
          <w:color w:val="000000"/>
          <w:sz w:val="27"/>
          <w:szCs w:val="27"/>
        </w:rPr>
        <w:t>Mt</w:t>
      </w:r>
      <w:proofErr w:type="spellEnd"/>
      <w:r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color w:val="000000"/>
          <w:sz w:val="27"/>
          <w:szCs w:val="27"/>
        </w:rPr>
        <w:t>19,10-12)»</w:t>
      </w:r>
      <w:r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3"/>
      </w:r>
      <w:r w:rsidRPr="00E02334">
        <w:rPr>
          <w:rFonts w:ascii="Times New Roman" w:hAnsi="Times New Roman"/>
          <w:color w:val="000000"/>
          <w:sz w:val="27"/>
          <w:szCs w:val="27"/>
        </w:rPr>
        <w:t>. O celibato se revela como uma correspondência de amor por parte de uma pessoa que, deixando «pai e mãe, segue Jesus Bom Pastor, numa comunhão apostólica ao serviço do Povo de Deus»</w:t>
      </w:r>
      <w:r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4"/>
      </w:r>
      <w:r w:rsidRPr="00E02334">
        <w:rPr>
          <w:rFonts w:ascii="Times New Roman" w:hAnsi="Times New Roman"/>
          <w:color w:val="000000"/>
          <w:sz w:val="27"/>
          <w:szCs w:val="27"/>
        </w:rPr>
        <w:t>.</w:t>
      </w:r>
    </w:p>
    <w:p w14:paraId="33D97865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Para viver o dom recebido com amor e generosidade, é particularmente importante que o sacerdote compreenda, desde o tempo da formação seminarística, a dimensão teológica e a motivação espiritual da disciplina eclesiástica sobre o celibato</w:t>
      </w:r>
      <w:r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5"/>
      </w:r>
      <w:r w:rsidRPr="00E02334">
        <w:rPr>
          <w:rFonts w:ascii="Times New Roman" w:hAnsi="Times New Roman"/>
          <w:color w:val="000000"/>
          <w:sz w:val="27"/>
          <w:szCs w:val="27"/>
        </w:rPr>
        <w:t>. Este, como dom e carisma particular de Deus, requer a observância da castidade, portanto da continência perfeita e perpétua por amor do Reino dos céus, para que os ministros sagrados possam aderir mais facilmente a Cristo com coração indiviso e dedicar-se mais livremente ao serviço de Deus e dos homens</w:t>
      </w:r>
      <w:r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6"/>
      </w:r>
      <w:r w:rsidRPr="00E02334">
        <w:rPr>
          <w:rFonts w:ascii="Times New Roman" w:hAnsi="Times New Roman"/>
          <w:color w:val="000000"/>
          <w:sz w:val="27"/>
          <w:szCs w:val="27"/>
        </w:rPr>
        <w:t>: «o celibato, elevando integralmente o homem, contribui efetivamente para a sua perfeição»</w:t>
      </w:r>
      <w:r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7"/>
      </w:r>
      <w:r w:rsidRPr="00E02334">
        <w:rPr>
          <w:rFonts w:ascii="Times New Roman" w:hAnsi="Times New Roman"/>
          <w:color w:val="000000"/>
          <w:sz w:val="27"/>
          <w:szCs w:val="27"/>
        </w:rPr>
        <w:t xml:space="preserve">. A disciplina eclesiástica manifesta, antes da vontade do </w:t>
      </w:r>
      <w:r w:rsidRPr="00E02334">
        <w:rPr>
          <w:rFonts w:ascii="Times New Roman" w:hAnsi="Times New Roman"/>
          <w:color w:val="000000"/>
          <w:sz w:val="27"/>
          <w:szCs w:val="27"/>
        </w:rPr>
        <w:lastRenderedPageBreak/>
        <w:t>sujeito, expressa pela sua disponibilidade, a vontade da Igreja, e encontra a sua razão última no laço estreito que o celibato tem com a ordenação sagrada, que configura o sacerdote a Jesus Cristo Cabeça e Esposo da Igreja</w:t>
      </w:r>
      <w:r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8"/>
      </w:r>
      <w:r w:rsidRPr="00E02334">
        <w:rPr>
          <w:rFonts w:ascii="Times New Roman" w:hAnsi="Times New Roman"/>
          <w:color w:val="000000"/>
          <w:sz w:val="27"/>
          <w:szCs w:val="27"/>
        </w:rPr>
        <w:t>.</w:t>
      </w:r>
    </w:p>
    <w:p w14:paraId="38EC985A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 xml:space="preserve">A carta aos </w:t>
      </w:r>
      <w:r w:rsidRPr="00DA4D50">
        <w:rPr>
          <w:rFonts w:ascii="Times New Roman" w:hAnsi="Times New Roman"/>
          <w:i/>
          <w:color w:val="000000"/>
          <w:sz w:val="27"/>
          <w:szCs w:val="27"/>
        </w:rPr>
        <w:t>Efésios</w:t>
      </w:r>
      <w:r w:rsidRPr="00E02334">
        <w:rPr>
          <w:rFonts w:ascii="Times New Roman" w:hAnsi="Times New Roman"/>
          <w:color w:val="000000"/>
          <w:sz w:val="27"/>
          <w:szCs w:val="27"/>
        </w:rPr>
        <w:t xml:space="preserve"> (cf. 5,25) coloca em relação estreita a oblação sacerdotal de Cristo (cf. 5,25) com a santificação da Igreja (cf. 5,26), amada com amor esponsal. Inserido sacramentalmente neste sacerdócio de amor exclusivo de Cristo pela Igreja, sua Esposa fiel, o presbítero exprime com o seu empenho celibatário esse amor que se torna também fonte fecunda de eficácia pastoral.</w:t>
      </w:r>
    </w:p>
    <w:p w14:paraId="679D907B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Portanto, o celibato não é um influxo que do exterior recai sobre o ministério sacerdotal, nem pode ser considerado simplesmente uma instituição imposta por lei, até porque, quem recebe o sacramento da Ordem, a isso se empenha com plena consciência e liberdade</w:t>
      </w:r>
      <w:r w:rsidR="00D4781F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9"/>
      </w:r>
      <w:r w:rsidRPr="00E02334">
        <w:rPr>
          <w:rFonts w:ascii="Times New Roman" w:hAnsi="Times New Roman"/>
          <w:color w:val="000000"/>
          <w:sz w:val="27"/>
          <w:szCs w:val="27"/>
        </w:rPr>
        <w:t>, depois duma preparação de muitos anos, de profunda reflexão e de oração assídua. Juntamente com a firme convicção de que Cristo lhe concede este dom para o bem da Igreja e para o serviço dos outros, o sacerdote assume-o para toda a vida, reforçando esta sua vontade na promessa já feita durante o rito da ordenação diaconal</w:t>
      </w:r>
      <w:r w:rsidR="00D4781F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10"/>
      </w:r>
      <w:r w:rsidRPr="00E02334">
        <w:rPr>
          <w:rFonts w:ascii="Times New Roman" w:hAnsi="Times New Roman"/>
          <w:color w:val="000000"/>
          <w:sz w:val="27"/>
          <w:szCs w:val="27"/>
        </w:rPr>
        <w:t>.</w:t>
      </w:r>
    </w:p>
    <w:p w14:paraId="22BCAC15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Por estas razões, a lei eclesiástica, por um lado, confirma o carisma do celibato mostrando que ele está em íntima conexão com o ministério sagrado na sua dupla dimensão de relação com Cristo e com a Igreja, e, por outro, tutela a liberdade daquele que o assume</w:t>
      </w:r>
      <w:r w:rsidR="00D4781F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11"/>
      </w:r>
      <w:r w:rsidRPr="00E02334">
        <w:rPr>
          <w:rFonts w:ascii="Times New Roman" w:hAnsi="Times New Roman"/>
          <w:color w:val="000000"/>
          <w:sz w:val="27"/>
          <w:szCs w:val="27"/>
        </w:rPr>
        <w:t>. Por isso, o presbítero, consagrado a Cristo com um novo e excelso título</w:t>
      </w:r>
      <w:r w:rsidR="00D4781F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12"/>
      </w:r>
      <w:r w:rsidRPr="00E02334">
        <w:rPr>
          <w:rFonts w:ascii="Times New Roman" w:hAnsi="Times New Roman"/>
          <w:color w:val="000000"/>
          <w:sz w:val="27"/>
          <w:szCs w:val="27"/>
        </w:rPr>
        <w:t>, deve estar bem consciente de que recebeu um dom de Deus que, sancionado por um preciso vínculo jurídico, gera a obrigação moral da observância. Tal vínculo, livremente assumido, tem caráter teologal e moral, antes que jurídico, e é sinal daquela realidade esponsal que se atua na ordenação sacramental.</w:t>
      </w:r>
    </w:p>
    <w:p w14:paraId="3B225C99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Mediante o dom do celibato, o presbítero adquire também aquela paternidade espiritual, mas real, que se alarga de modo universal e, em particular, se concretiza na relação com a comunidade que lhe é confiada</w:t>
      </w:r>
      <w:r w:rsidR="00D4781F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13"/>
      </w:r>
      <w:r w:rsidRPr="00E02334">
        <w:rPr>
          <w:rFonts w:ascii="Times New Roman" w:hAnsi="Times New Roman"/>
          <w:color w:val="000000"/>
          <w:sz w:val="27"/>
          <w:szCs w:val="27"/>
        </w:rPr>
        <w:t>. «Esses são filhos do seu espírito, homens confiados pelo Bom Pastor à sua solicitude. E são muito mais numerosos do que quantos possa abranger uma família humana. [...] O coração do Sacerdote, a fim de estar disponível para tal serviço, para tal solicitude e amor, tem de ser livre. O celibato é sinal de liberdade para servir. De acordo com este sinal, o sacerdócio hierárquico, ou “ministerial” – segundo a tradição da nossa Igreja – está assim mais estritamente “ordenado” ao serviço do sacerdócio comum dos fiéis»</w:t>
      </w:r>
      <w:r w:rsidR="00D4781F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14"/>
      </w:r>
      <w:r w:rsidRPr="00E02334">
        <w:rPr>
          <w:rFonts w:ascii="Times New Roman" w:hAnsi="Times New Roman"/>
          <w:color w:val="000000"/>
          <w:sz w:val="27"/>
          <w:szCs w:val="27"/>
        </w:rPr>
        <w:t>.</w:t>
      </w:r>
    </w:p>
    <w:p w14:paraId="3047318D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Style w:val="Emphasis"/>
          <w:rFonts w:ascii="Times New Roman" w:hAnsi="Times New Roman"/>
          <w:color w:val="000000"/>
          <w:sz w:val="27"/>
          <w:szCs w:val="27"/>
        </w:rPr>
        <w:t>Exemplo de Jesus</w:t>
      </w:r>
    </w:p>
    <w:p w14:paraId="3644AB24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lastRenderedPageBreak/>
        <w:t>81. O celibato é, portanto, dom de si «em» e «com» Cristo à sua Igreja e exprime o serviço do sacerdote à Igreja «em» e «com» o Senhor</w:t>
      </w:r>
      <w:r w:rsidR="00D4781F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15"/>
      </w:r>
      <w:r w:rsidRPr="00E02334">
        <w:rPr>
          <w:rFonts w:ascii="Times New Roman" w:hAnsi="Times New Roman"/>
          <w:color w:val="000000"/>
          <w:sz w:val="27"/>
          <w:szCs w:val="27"/>
        </w:rPr>
        <w:t>.</w:t>
      </w:r>
    </w:p>
    <w:p w14:paraId="03665168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O exemplo é o do próprio Senhor, o qual, indo contra aquela que se pode considerar a cultura dominante do seu tempo, escolheu livremente viver celibatário. Na sua sequela, os discípulos deixaram «tudo» para realizar a missão que lhes foi confiada (</w:t>
      </w:r>
      <w:proofErr w:type="spellStart"/>
      <w:r w:rsidRPr="00E02334">
        <w:rPr>
          <w:rFonts w:ascii="Times New Roman" w:hAnsi="Times New Roman"/>
          <w:i/>
          <w:iCs/>
          <w:color w:val="000000"/>
          <w:sz w:val="27"/>
          <w:szCs w:val="27"/>
        </w:rPr>
        <w:t>Lc</w:t>
      </w:r>
      <w:proofErr w:type="spellEnd"/>
      <w:r w:rsidR="00D4781F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color w:val="000000"/>
          <w:sz w:val="27"/>
          <w:szCs w:val="27"/>
        </w:rPr>
        <w:t>18,28-30).</w:t>
      </w:r>
    </w:p>
    <w:p w14:paraId="074DC7A5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Por esse motivo, a Igreja, desde os tempos apostólicos, quis conservar o dom da continência perpétua dos clérigos e se orientou a escolher os candidatos às Ordens sagradas entre os celibatários (cf.</w:t>
      </w:r>
      <w:r w:rsidR="00D4781F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i/>
          <w:iCs/>
          <w:color w:val="000000"/>
          <w:sz w:val="27"/>
          <w:szCs w:val="27"/>
        </w:rPr>
        <w:t>2Ts</w:t>
      </w:r>
      <w:r w:rsidR="00D4781F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color w:val="000000"/>
          <w:sz w:val="27"/>
          <w:szCs w:val="27"/>
        </w:rPr>
        <w:t>2,15;</w:t>
      </w:r>
      <w:r w:rsidR="00D4781F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i/>
          <w:iCs/>
          <w:color w:val="000000"/>
          <w:sz w:val="27"/>
          <w:szCs w:val="27"/>
        </w:rPr>
        <w:t>1Cor</w:t>
      </w:r>
      <w:r w:rsidR="00D4781F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color w:val="000000"/>
          <w:sz w:val="27"/>
          <w:szCs w:val="27"/>
        </w:rPr>
        <w:t>7,5; 9,5;</w:t>
      </w:r>
      <w:r w:rsidR="00D4781F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i/>
          <w:iCs/>
          <w:color w:val="000000"/>
          <w:sz w:val="27"/>
          <w:szCs w:val="27"/>
        </w:rPr>
        <w:t>1Tm</w:t>
      </w:r>
      <w:r w:rsidR="00D4781F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color w:val="000000"/>
          <w:sz w:val="27"/>
          <w:szCs w:val="27"/>
        </w:rPr>
        <w:t>3,2.12; 5, 9;</w:t>
      </w:r>
      <w:r w:rsidR="00D4781F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E02334">
        <w:rPr>
          <w:rFonts w:ascii="Times New Roman" w:hAnsi="Times New Roman"/>
          <w:i/>
          <w:iCs/>
          <w:color w:val="000000"/>
          <w:sz w:val="27"/>
          <w:szCs w:val="27"/>
        </w:rPr>
        <w:t>Tt</w:t>
      </w:r>
      <w:proofErr w:type="spellEnd"/>
      <w:r w:rsidR="00D4781F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color w:val="000000"/>
          <w:sz w:val="27"/>
          <w:szCs w:val="27"/>
        </w:rPr>
        <w:t>1,6.8)</w:t>
      </w:r>
      <w:r w:rsidR="00D4781F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16"/>
      </w:r>
      <w:r w:rsidRPr="00E02334">
        <w:rPr>
          <w:rFonts w:ascii="Times New Roman" w:hAnsi="Times New Roman"/>
          <w:color w:val="000000"/>
          <w:sz w:val="27"/>
          <w:szCs w:val="27"/>
        </w:rPr>
        <w:t>.</w:t>
      </w:r>
    </w:p>
    <w:p w14:paraId="4DF0B5A5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O celibato é um dom que se recebe da misericórdia divina</w:t>
      </w:r>
      <w:r w:rsidR="00ED3DAA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17"/>
      </w:r>
      <w:r w:rsidRPr="00E02334">
        <w:rPr>
          <w:rFonts w:ascii="Times New Roman" w:hAnsi="Times New Roman"/>
          <w:color w:val="000000"/>
          <w:sz w:val="27"/>
          <w:szCs w:val="27"/>
        </w:rPr>
        <w:t xml:space="preserve">, como escolha de liberdade e acolhimento agradecido de uma vocação especial de amor a Deus e aos homens. Por isso, não deve ser compreendido e vivido como se fosse simplesmente um efeito colateral do </w:t>
      </w:r>
      <w:proofErr w:type="spellStart"/>
      <w:r w:rsidRPr="00E02334">
        <w:rPr>
          <w:rFonts w:ascii="Times New Roman" w:hAnsi="Times New Roman"/>
          <w:color w:val="000000"/>
          <w:sz w:val="27"/>
          <w:szCs w:val="27"/>
        </w:rPr>
        <w:t>presbiterato</w:t>
      </w:r>
      <w:proofErr w:type="spellEnd"/>
      <w:r w:rsidRPr="00E02334">
        <w:rPr>
          <w:rFonts w:ascii="Times New Roman" w:hAnsi="Times New Roman"/>
          <w:color w:val="000000"/>
          <w:sz w:val="27"/>
          <w:szCs w:val="27"/>
        </w:rPr>
        <w:t>.</w:t>
      </w:r>
    </w:p>
    <w:p w14:paraId="26755754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Style w:val="Emphasis"/>
          <w:rFonts w:ascii="Times New Roman" w:hAnsi="Times New Roman"/>
          <w:color w:val="000000"/>
          <w:sz w:val="27"/>
          <w:szCs w:val="27"/>
        </w:rPr>
        <w:t>Dificuldades e objeções</w:t>
      </w:r>
    </w:p>
    <w:p w14:paraId="7EA409ED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82. No atual clima cultural, condicionado, muitas vezes, por uma visão do homem destituída de valores e, sobretudo, incapaz de dar um sentido pleno, positivo e libertador à sexualidade humana, coloca-se frequentemente a pergunta sobre a importância e o significado do celibato sacerdotal ou ao menos sobre a oportunidade de afirmar o seu vínculo estrito e a sua profunda sintonia com o sacerdócio ministerial.</w:t>
      </w:r>
    </w:p>
    <w:p w14:paraId="761DD62F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D3DAA">
        <w:rPr>
          <w:rFonts w:ascii="Times New Roman" w:hAnsi="Times New Roman"/>
          <w:color w:val="000000"/>
          <w:sz w:val="27"/>
          <w:szCs w:val="27"/>
          <w:highlight w:val="yellow"/>
        </w:rPr>
        <w:t xml:space="preserve">«Num certo sentido, esta crítica permanente contra o celibato pode surpreender, num tempo em que está cada vez mais na moda não casar. Mas este não-casar é uma coisa total, fundamentalmente diversa do celibato, porque o não-casar se baseia na vontade de viver só para si mesmo, de não aceitar qualquer vínculo definitivo, de ter a vida em todos os momentos em plena autonomia, decidir em qualquer momento como fazer, o que tirar da vida; e portanto um “não” ao vínculo, um “não” à </w:t>
      </w:r>
      <w:proofErr w:type="spellStart"/>
      <w:r w:rsidRPr="00ED3DAA">
        <w:rPr>
          <w:rFonts w:ascii="Times New Roman" w:hAnsi="Times New Roman"/>
          <w:color w:val="000000"/>
          <w:sz w:val="27"/>
          <w:szCs w:val="27"/>
          <w:highlight w:val="yellow"/>
        </w:rPr>
        <w:t>definitividade</w:t>
      </w:r>
      <w:proofErr w:type="spellEnd"/>
      <w:r w:rsidRPr="00ED3DAA">
        <w:rPr>
          <w:rFonts w:ascii="Times New Roman" w:hAnsi="Times New Roman"/>
          <w:color w:val="000000"/>
          <w:sz w:val="27"/>
          <w:szCs w:val="27"/>
          <w:highlight w:val="yellow"/>
        </w:rPr>
        <w:t>, um ter a vida só para si mesmos. Enquanto o celibato é precisamente o contrário: é um “sim” definitivo, é um deixar-se guiar pela mão de Deus, entregar-se nas mãos do Senhor, no seu “eu”, e portanto é um ato de fidelidade e de confiança, um ato que supõe também a fidelidade do matrimônio; é precisamente o contrário deste “não”, desta autonomia que não se quer comprometer, que não quer entrar num vínculo»</w:t>
      </w:r>
      <w:r w:rsidR="00ED3DAA" w:rsidRPr="00ED3DAA">
        <w:rPr>
          <w:rStyle w:val="FootnoteReference"/>
          <w:rFonts w:ascii="Times New Roman" w:hAnsi="Times New Roman"/>
          <w:color w:val="000000"/>
          <w:sz w:val="27"/>
          <w:szCs w:val="27"/>
          <w:highlight w:val="yellow"/>
        </w:rPr>
        <w:footnoteReference w:id="18"/>
      </w:r>
      <w:r w:rsidRPr="00ED3DAA">
        <w:rPr>
          <w:rFonts w:ascii="Times New Roman" w:hAnsi="Times New Roman"/>
          <w:color w:val="000000"/>
          <w:sz w:val="27"/>
          <w:szCs w:val="27"/>
          <w:highlight w:val="yellow"/>
        </w:rPr>
        <w:t>.</w:t>
      </w:r>
    </w:p>
    <w:p w14:paraId="71AECA79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O presbítero não anuncia a si mesmo, «mas, dentro e através da própria humanidade, cada sacerdote deve estar bem consciente de levar Outro, o próprio Deus, ao mundo. Deus é a única riqueza que, de modo definitivo, os homens desejam encontrar num sacerdote»</w:t>
      </w:r>
      <w:r w:rsidR="00ED3DAA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19"/>
      </w:r>
      <w:r w:rsidRPr="00E02334">
        <w:rPr>
          <w:rFonts w:ascii="Times New Roman" w:hAnsi="Times New Roman"/>
          <w:color w:val="000000"/>
          <w:sz w:val="27"/>
          <w:szCs w:val="27"/>
        </w:rPr>
        <w:t xml:space="preserve">. O modelo sacerdotal é o </w:t>
      </w:r>
      <w:r w:rsidRPr="00E02334">
        <w:rPr>
          <w:rFonts w:ascii="Times New Roman" w:hAnsi="Times New Roman"/>
          <w:color w:val="000000"/>
          <w:sz w:val="27"/>
          <w:szCs w:val="27"/>
        </w:rPr>
        <w:lastRenderedPageBreak/>
        <w:t xml:space="preserve">de ser testemunha do Absoluto: o fato de que, hoje, em muitos ambientes, o celibato seja pouco compreendido ou pouco apreciado não deve conduzir a </w:t>
      </w:r>
      <w:proofErr w:type="spellStart"/>
      <w:r w:rsidRPr="00E02334">
        <w:rPr>
          <w:rFonts w:ascii="Times New Roman" w:hAnsi="Times New Roman"/>
          <w:color w:val="000000"/>
          <w:sz w:val="27"/>
          <w:szCs w:val="27"/>
        </w:rPr>
        <w:t>hipotizações</w:t>
      </w:r>
      <w:proofErr w:type="spellEnd"/>
      <w:r w:rsidRPr="00E02334">
        <w:rPr>
          <w:rFonts w:ascii="Times New Roman" w:hAnsi="Times New Roman"/>
          <w:color w:val="000000"/>
          <w:sz w:val="27"/>
          <w:szCs w:val="27"/>
        </w:rPr>
        <w:t xml:space="preserve"> de cenários diferentes, mas requer redescobrir de um modo novo este dom do amor de Deus pelos homens. Com efeito, o celibato sacerdotal é também admirado e amado por muitas pessoas, também não cristãs.</w:t>
      </w:r>
    </w:p>
    <w:p w14:paraId="599A7878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Não se pode esquecer de que o celibato é vivificado pela prática da virtude da castidade, de que pode ser vivido somente mediante o cultivo da pureza, com maturidade sobrenatural e humana</w:t>
      </w:r>
      <w:r w:rsidR="00ED3DAA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20"/>
      </w:r>
      <w:r w:rsidRPr="00E02334">
        <w:rPr>
          <w:rFonts w:ascii="Times New Roman" w:hAnsi="Times New Roman"/>
          <w:color w:val="000000"/>
          <w:sz w:val="27"/>
          <w:szCs w:val="27"/>
        </w:rPr>
        <w:t>, enquanto essencial à finalidade de desenvolver o talento da vocação. Não é possível amar Cristo e os outros com um coração impuro. A virtude da pureza torna capaz de viver a indicação do Apóstolo: «Glorificai a Deus em vosso corpo!» (</w:t>
      </w:r>
      <w:r w:rsidRPr="00E02334">
        <w:rPr>
          <w:rFonts w:ascii="Times New Roman" w:hAnsi="Times New Roman"/>
          <w:i/>
          <w:iCs/>
          <w:color w:val="000000"/>
          <w:sz w:val="27"/>
          <w:szCs w:val="27"/>
        </w:rPr>
        <w:t>1Cor</w:t>
      </w:r>
      <w:r w:rsidR="00ED3DAA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color w:val="000000"/>
          <w:sz w:val="27"/>
          <w:szCs w:val="27"/>
        </w:rPr>
        <w:t>6,20). Quando falta esta virtude, todas as outras dimensões ficam prejudicadas. Se é verdade que no contexto atual existem diversas dificuldades para viver a santa pureza, é tanto mais verdade que o Senhor derrame com abundância a sua graça e ofereça os meios necessários para praticar esta virtude com alegria e júbilo.</w:t>
      </w:r>
    </w:p>
    <w:p w14:paraId="160C7ED2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É claro que, para garantir e defender este dom, num clima de sereno equilíbrio e de progresso espiritual, devem ser postas em prática todas as medidas que afastem o sacerdote das dificuldades possíveis</w:t>
      </w:r>
      <w:r w:rsidR="00ED3DAA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21"/>
      </w:r>
      <w:r w:rsidRPr="00E02334">
        <w:rPr>
          <w:rFonts w:ascii="Times New Roman" w:hAnsi="Times New Roman"/>
          <w:color w:val="000000"/>
          <w:sz w:val="27"/>
          <w:szCs w:val="27"/>
        </w:rPr>
        <w:t>.</w:t>
      </w:r>
    </w:p>
    <w:p w14:paraId="7869EEFD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É necessário, portanto, que os presbíteros se comportem com a devida prudência nas relações com as pessoas cuja familiaridade pode colocar em perigo a fidelidade ao dom ou então suscitar o escândalo dos fiéis</w:t>
      </w:r>
      <w:r w:rsidR="00401F57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22"/>
      </w:r>
      <w:r w:rsidRPr="00E02334">
        <w:rPr>
          <w:rFonts w:ascii="Times New Roman" w:hAnsi="Times New Roman"/>
          <w:color w:val="000000"/>
          <w:sz w:val="27"/>
          <w:szCs w:val="27"/>
        </w:rPr>
        <w:t>. Nos casos particulares, deve atender-se ao parecer do Bispo, que tem obrigação de estabelecer normas precisas sobre o assunto</w:t>
      </w:r>
      <w:r w:rsidR="00401F57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23"/>
      </w:r>
      <w:r w:rsidRPr="00E02334">
        <w:rPr>
          <w:rFonts w:ascii="Times New Roman" w:hAnsi="Times New Roman"/>
          <w:color w:val="000000"/>
          <w:sz w:val="27"/>
          <w:szCs w:val="27"/>
        </w:rPr>
        <w:t>. Como é lógico, o sacerdote deve abster-se de toda conduta ambígua e não esquecer o prioritário dever que tem de testemunhar o amor redentor de Cristo. Infelizmente, no que concerne a esta matéria, algumas situações que lamentavelmente aconteceram produziram um grande dano à Igreja e à sua credibilidade, embora tenham acontecido muito mais situações do gênero no mundo. O atual contexto requer, também por parte dos presbíteros, sensibilidade e prudência ainda maiores no que diz respeito às relações com as crianças e as pessoas em situação de risco</w:t>
      </w:r>
      <w:r w:rsidR="00401F57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24"/>
      </w:r>
      <w:r w:rsidRPr="00E02334">
        <w:rPr>
          <w:rFonts w:ascii="Times New Roman" w:hAnsi="Times New Roman"/>
          <w:color w:val="000000"/>
          <w:sz w:val="27"/>
          <w:szCs w:val="27"/>
        </w:rPr>
        <w:t>. Em particular, se devem evitar situações que pudessem dar espaço a murmurações (por exemplo, permitir que crianças entrem sozinhas na casa paroquial ou levar menores de idade dentro do carro). No que diz respeito à confissão, seria oportuno que, habitualmente, os menores se confessem no confessionário durante o tempo no qual a Igreja está aberta ao público ou que, se por qualquer razão fosse necessário agir de outro modo, sejam respeitadas as correspondentes normas de prudência.</w:t>
      </w:r>
    </w:p>
    <w:p w14:paraId="130262AA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lastRenderedPageBreak/>
        <w:t>Além disso, os sacerdotes não deixem de seguir aquelas regras ascéticas garantidas pela experiência da Igreja e que são ainda mais exigidas nas circunstâncias atuais. Evitem prudentemente frequentar lugares, assistir a espetáculos, fazer leituras ou frequentar</w:t>
      </w:r>
      <w:r w:rsidR="00401F57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i/>
          <w:iCs/>
          <w:color w:val="000000"/>
          <w:sz w:val="27"/>
          <w:szCs w:val="27"/>
        </w:rPr>
        <w:t>sites</w:t>
      </w:r>
      <w:r w:rsidR="00401F57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color w:val="000000"/>
          <w:sz w:val="27"/>
          <w:szCs w:val="27"/>
        </w:rPr>
        <w:t>na internet que constituam uma insídia à observância da castidade celibatária</w:t>
      </w:r>
      <w:r w:rsidR="00401F57">
        <w:rPr>
          <w:rStyle w:val="FootnoteReference"/>
          <w:rFonts w:ascii="Times New Roman" w:hAnsi="Times New Roman"/>
          <w:color w:val="000000"/>
          <w:sz w:val="27"/>
          <w:szCs w:val="27"/>
        </w:rPr>
        <w:footnoteReference w:id="25"/>
      </w:r>
      <w:r w:rsidR="00401F5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02334">
        <w:rPr>
          <w:rFonts w:ascii="Times New Roman" w:hAnsi="Times New Roman"/>
          <w:color w:val="000000"/>
          <w:sz w:val="27"/>
          <w:szCs w:val="27"/>
        </w:rPr>
        <w:t>ou até ocasião e causa de graves pecados contra a moral cristã. No uso dos meios de comunicação social, como agentes ou como usufrutuários, observem a discrição necessária e evitem tudo o que pode prejudicar a vocação.</w:t>
      </w:r>
    </w:p>
    <w:p w14:paraId="5D8FC5E2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401F57">
        <w:rPr>
          <w:rFonts w:ascii="Times New Roman" w:hAnsi="Times New Roman"/>
          <w:color w:val="000000"/>
          <w:sz w:val="27"/>
          <w:szCs w:val="27"/>
          <w:highlight w:val="yellow"/>
        </w:rPr>
        <w:t xml:space="preserve">Para guardar com amor o dom recebido, em um clima de exasperado </w:t>
      </w:r>
      <w:proofErr w:type="spellStart"/>
      <w:r w:rsidRPr="00401F57">
        <w:rPr>
          <w:rFonts w:ascii="Times New Roman" w:hAnsi="Times New Roman"/>
          <w:color w:val="000000"/>
          <w:sz w:val="27"/>
          <w:szCs w:val="27"/>
          <w:highlight w:val="yellow"/>
        </w:rPr>
        <w:t>permissivismo</w:t>
      </w:r>
      <w:proofErr w:type="spellEnd"/>
      <w:r w:rsidRPr="00401F57">
        <w:rPr>
          <w:rFonts w:ascii="Times New Roman" w:hAnsi="Times New Roman"/>
          <w:color w:val="000000"/>
          <w:sz w:val="27"/>
          <w:szCs w:val="27"/>
          <w:highlight w:val="yellow"/>
        </w:rPr>
        <w:t xml:space="preserve"> sexual, os sacerdotes recorram a todos aqueles meios naturais e sobrenaturais, dos quais a tradição da Igreja é rica. Por um lado, a fraternidade sacerdotal, o cuidado de ter bons relacionamentos com as pessoas, a ascese e o domínio de si mesmo, a mortificação; é também útil incentivar uma cultura da beleza nos vários campos da vida, que auxilie na luta diante de tudo aquilo que é degradante e nocivo, nutrir certa paixão pelo próprio ministério apostólico, aceitar serenamente certo tipo de solidão, uma sapiente e profícua gestão do tempo livre para que não se torne um tempo</w:t>
      </w:r>
      <w:r w:rsidRPr="00E0233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01F57">
        <w:rPr>
          <w:rFonts w:ascii="Times New Roman" w:hAnsi="Times New Roman"/>
          <w:color w:val="000000"/>
          <w:sz w:val="27"/>
          <w:szCs w:val="27"/>
          <w:highlight w:val="yellow"/>
        </w:rPr>
        <w:t>vazio. Por outro lado, são essenciais a comunhão com Cristo, uma forte piedade eucarística, a confissão frequente, a direção espiritual, os exercícios e os retiros espirituais, um espírito de aceitação das cruzes da vida cotidiana, a confiança e o amor à Igreja, a filial devoção à Bem-aventurada Virgem Maria e a consideração dos exemplos dos sacerdotes santos de todos os tempos</w:t>
      </w:r>
      <w:r w:rsidR="00401F57" w:rsidRPr="00401F57">
        <w:rPr>
          <w:rStyle w:val="FootnoteReference"/>
          <w:rFonts w:ascii="Times New Roman" w:hAnsi="Times New Roman"/>
          <w:color w:val="000000"/>
          <w:sz w:val="27"/>
          <w:szCs w:val="27"/>
          <w:highlight w:val="yellow"/>
        </w:rPr>
        <w:footnoteReference w:id="26"/>
      </w:r>
      <w:r w:rsidRPr="00401F57">
        <w:rPr>
          <w:rFonts w:ascii="Times New Roman" w:hAnsi="Times New Roman"/>
          <w:color w:val="000000"/>
          <w:sz w:val="27"/>
          <w:szCs w:val="27"/>
          <w:highlight w:val="yellow"/>
        </w:rPr>
        <w:t>.</w:t>
      </w:r>
    </w:p>
    <w:p w14:paraId="6FA75CCB" w14:textId="77777777" w:rsidR="00E02334" w:rsidRPr="00E02334" w:rsidRDefault="00E02334" w:rsidP="00E02334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>Dificuldades e objeções acompanharam sempre, ao longo dos séculos, a escolha da Igreja Latina e de algumas Igrejas Orientais de conferir o sacerdócio ministerial só àqueles homens que receberam de Deus o dom da castidade no celibato. A disciplina das outras Igrejas Orientais, que admitem o sacerdócio dos casados, não se contrapõe à da Igreja latina. Com efeito, as mesmas Igrejas Orientais exigem o celibato aos Bispos. Além disso, não permitem o matrimônio dos sacerdotes e nem permitem núpcias sucessivas aos que ficaram viúvos. Trata-se sempre e só da ordenação de homens já casados.</w:t>
      </w:r>
    </w:p>
    <w:p w14:paraId="029FD4F5" w14:textId="77777777" w:rsidR="002A1980" w:rsidRPr="00401F57" w:rsidRDefault="00E02334" w:rsidP="00401F57">
      <w:pPr>
        <w:pStyle w:val="NormalWeb"/>
        <w:jc w:val="both"/>
        <w:rPr>
          <w:rFonts w:ascii="Times New Roman" w:hAnsi="Times New Roman"/>
          <w:color w:val="000000"/>
          <w:sz w:val="27"/>
          <w:szCs w:val="27"/>
        </w:rPr>
      </w:pPr>
      <w:r w:rsidRPr="00E02334">
        <w:rPr>
          <w:rFonts w:ascii="Times New Roman" w:hAnsi="Times New Roman"/>
          <w:color w:val="000000"/>
          <w:sz w:val="27"/>
          <w:szCs w:val="27"/>
        </w:rPr>
        <w:t xml:space="preserve">As objeções que alguns, ainda hoje, apresentam contra o celibato sacerdotal se fundam frequentemente sobre argumentos baseados em pretextos como, por exemplo, a acusação de que o celibato é reflexo de um espiritualismo desencarnado ou de que se comporta com desconfiança ou desprezo para com a sexualidade; outras vezes, tomam como desculpa a consideração de casos tristes e dolorosos, mesmo sendo sempre particulares, aos quais se tende a generalizar. Pelo contrário, esquece-se o testemunho dado pela imensa maioria dos sacerdotes, que vivem o seu celibato com liberdade interior, com fortes motivações evangélicas, em fecundidade espiritual, num horizonte de convencida e contente fidelidade à própria vocação e missão, </w:t>
      </w:r>
      <w:r w:rsidRPr="00E02334">
        <w:rPr>
          <w:rFonts w:ascii="Times New Roman" w:hAnsi="Times New Roman"/>
          <w:color w:val="000000"/>
          <w:sz w:val="27"/>
          <w:szCs w:val="27"/>
        </w:rPr>
        <w:lastRenderedPageBreak/>
        <w:t>para não falar de tantos leigos que assumem felizmente um fecundo celibato apostólico.</w:t>
      </w:r>
    </w:p>
    <w:sectPr w:rsidR="002A1980" w:rsidRPr="00401F57" w:rsidSect="002A19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EB484" w14:textId="77777777" w:rsidR="00ED3DAA" w:rsidRDefault="00ED3DAA" w:rsidP="00E02334">
      <w:r>
        <w:separator/>
      </w:r>
    </w:p>
  </w:endnote>
  <w:endnote w:type="continuationSeparator" w:id="0">
    <w:p w14:paraId="7CB4E2D9" w14:textId="77777777" w:rsidR="00ED3DAA" w:rsidRDefault="00ED3DAA" w:rsidP="00E0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95C32" w14:textId="77777777" w:rsidR="00ED3DAA" w:rsidRDefault="00ED3DAA" w:rsidP="00E02334">
      <w:r>
        <w:separator/>
      </w:r>
    </w:p>
  </w:footnote>
  <w:footnote w:type="continuationSeparator" w:id="0">
    <w:p w14:paraId="0FA54422" w14:textId="77777777" w:rsidR="00ED3DAA" w:rsidRDefault="00ED3DAA" w:rsidP="00E02334">
      <w:r>
        <w:continuationSeparator/>
      </w:r>
    </w:p>
  </w:footnote>
  <w:footnote w:id="1">
    <w:p w14:paraId="1F1BAA00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João Paulo II, </w:t>
      </w:r>
      <w:proofErr w:type="spellStart"/>
      <w:r w:rsidRPr="00DA4D50">
        <w:rPr>
          <w:rFonts w:ascii="Times New Roman" w:hAnsi="Times New Roman" w:cs="Times New Roman"/>
        </w:rPr>
        <w:t>Exort</w:t>
      </w:r>
      <w:proofErr w:type="spellEnd"/>
      <w:r w:rsidRPr="00DA4D50">
        <w:rPr>
          <w:rFonts w:ascii="Times New Roman" w:hAnsi="Times New Roman" w:cs="Times New Roman"/>
        </w:rPr>
        <w:t xml:space="preserve">. ap. pós-sinodal </w:t>
      </w:r>
      <w:r w:rsidRPr="00DA4D50">
        <w:rPr>
          <w:rFonts w:ascii="Times New Roman" w:hAnsi="Times New Roman" w:cs="Times New Roman"/>
          <w:i/>
          <w:lang w:val="fi-FI"/>
        </w:rPr>
        <w:t>Pastores dabo vobis</w:t>
      </w:r>
      <w:r w:rsidRPr="00DA4D50">
        <w:rPr>
          <w:rFonts w:ascii="Times New Roman" w:hAnsi="Times New Roman" w:cs="Times New Roman"/>
        </w:rPr>
        <w:t xml:space="preserve">, 29; cf. Conc. </w:t>
      </w:r>
      <w:proofErr w:type="spellStart"/>
      <w:r w:rsidRPr="00DA4D50">
        <w:rPr>
          <w:rFonts w:ascii="Times New Roman" w:hAnsi="Times New Roman" w:cs="Times New Roman"/>
        </w:rPr>
        <w:t>Ecum</w:t>
      </w:r>
      <w:proofErr w:type="spellEnd"/>
      <w:r w:rsidRPr="00DA4D50">
        <w:rPr>
          <w:rFonts w:ascii="Times New Roman" w:hAnsi="Times New Roman" w:cs="Times New Roman"/>
        </w:rPr>
        <w:t xml:space="preserve">. Vat. II, Decr. </w:t>
      </w:r>
      <w:r w:rsidRPr="00DA4D50">
        <w:rPr>
          <w:rFonts w:ascii="Times New Roman" w:hAnsi="Times New Roman" w:cs="Times New Roman"/>
          <w:i/>
          <w:lang w:val="fi-FI"/>
        </w:rPr>
        <w:t>Presbyterorum Ordinis</w:t>
      </w:r>
      <w:r w:rsidRPr="00DA4D50">
        <w:rPr>
          <w:rFonts w:ascii="Times New Roman" w:hAnsi="Times New Roman" w:cs="Times New Roman"/>
        </w:rPr>
        <w:t xml:space="preserve">, 16; Paulo VI, Carta enc. </w:t>
      </w:r>
      <w:r w:rsidRPr="00DA4D50">
        <w:rPr>
          <w:rFonts w:ascii="Times New Roman" w:hAnsi="Times New Roman" w:cs="Times New Roman"/>
          <w:i/>
          <w:lang w:val="fi-FI"/>
        </w:rPr>
        <w:t>Sacerdotalis cælibatus</w:t>
      </w:r>
      <w:r w:rsidRPr="00DA4D50">
        <w:rPr>
          <w:rFonts w:ascii="Times New Roman" w:hAnsi="Times New Roman" w:cs="Times New Roman"/>
        </w:rPr>
        <w:t xml:space="preserve"> (24 de junho de 1967), 14: </w:t>
      </w:r>
      <w:r w:rsidRPr="00DA4D50">
        <w:rPr>
          <w:rFonts w:ascii="Times New Roman" w:hAnsi="Times New Roman" w:cs="Times New Roman"/>
          <w:i/>
        </w:rPr>
        <w:t>l.c</w:t>
      </w:r>
      <w:r w:rsidRPr="00DA4D50">
        <w:rPr>
          <w:rFonts w:ascii="Times New Roman" w:hAnsi="Times New Roman" w:cs="Times New Roman"/>
        </w:rPr>
        <w:t>., 662</w:t>
      </w:r>
      <w:r w:rsidRPr="00DA4D50">
        <w:rPr>
          <w:rFonts w:ascii="Times New Roman" w:hAnsi="Times New Roman" w:cs="Times New Roman"/>
          <w:i/>
        </w:rPr>
        <w:t>; C.I.C</w:t>
      </w:r>
      <w:r w:rsidRPr="00DA4D50">
        <w:rPr>
          <w:rFonts w:ascii="Times New Roman" w:hAnsi="Times New Roman" w:cs="Times New Roman"/>
        </w:rPr>
        <w:t>, can. 277, § 1.</w:t>
      </w:r>
    </w:p>
  </w:footnote>
  <w:footnote w:id="2">
    <w:p w14:paraId="0355849E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Bento XVI, </w:t>
      </w:r>
      <w:r w:rsidRPr="00DA4D50">
        <w:rPr>
          <w:rFonts w:ascii="Times New Roman" w:hAnsi="Times New Roman" w:cs="Times New Roman"/>
          <w:i/>
        </w:rPr>
        <w:t>Vigília por ocasião da conclusão do Ano Sacerdotal</w:t>
      </w:r>
      <w:r w:rsidRPr="00DA4D50">
        <w:rPr>
          <w:rFonts w:ascii="Times New Roman" w:hAnsi="Times New Roman" w:cs="Times New Roman"/>
        </w:rPr>
        <w:t xml:space="preserve"> (10 de junho de 2010): </w:t>
      </w:r>
      <w:r w:rsidRPr="00DA4D50">
        <w:rPr>
          <w:rFonts w:ascii="Times New Roman" w:hAnsi="Times New Roman" w:cs="Times New Roman"/>
          <w:i/>
        </w:rPr>
        <w:t>l.c</w:t>
      </w:r>
      <w:r w:rsidRPr="00DA4D50">
        <w:rPr>
          <w:rFonts w:ascii="Times New Roman" w:hAnsi="Times New Roman" w:cs="Times New Roman"/>
        </w:rPr>
        <w:t>., 397-406.</w:t>
      </w:r>
    </w:p>
  </w:footnote>
  <w:footnote w:id="3">
    <w:p w14:paraId="02CD40DF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>Cf. João Paulo II, Carta enc</w:t>
      </w:r>
      <w:r w:rsidRPr="00DA4D50">
        <w:rPr>
          <w:rFonts w:ascii="Times New Roman" w:hAnsi="Times New Roman" w:cs="Times New Roman"/>
          <w:i/>
          <w:lang w:val="fi-FI"/>
        </w:rPr>
        <w:t>. Veritatis splendor</w:t>
      </w:r>
      <w:r w:rsidRPr="00DA4D50">
        <w:rPr>
          <w:rFonts w:ascii="Times New Roman" w:hAnsi="Times New Roman" w:cs="Times New Roman"/>
        </w:rPr>
        <w:t xml:space="preserve"> (6 de agosto de 1993), 22: </w:t>
      </w:r>
      <w:r w:rsidRPr="00DA4D50">
        <w:rPr>
          <w:rFonts w:ascii="Times New Roman" w:hAnsi="Times New Roman" w:cs="Times New Roman"/>
          <w:i/>
        </w:rPr>
        <w:t>l.c</w:t>
      </w:r>
      <w:r w:rsidRPr="00DA4D50">
        <w:rPr>
          <w:rFonts w:ascii="Times New Roman" w:hAnsi="Times New Roman" w:cs="Times New Roman"/>
        </w:rPr>
        <w:t>., 1150-1151.</w:t>
      </w:r>
    </w:p>
  </w:footnote>
  <w:footnote w:id="4">
    <w:p w14:paraId="173E6994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João Paulo II, </w:t>
      </w:r>
      <w:proofErr w:type="spellStart"/>
      <w:r w:rsidRPr="00DA4D50">
        <w:rPr>
          <w:rFonts w:ascii="Times New Roman" w:hAnsi="Times New Roman" w:cs="Times New Roman"/>
        </w:rPr>
        <w:t>Exort</w:t>
      </w:r>
      <w:proofErr w:type="spellEnd"/>
      <w:r w:rsidRPr="00DA4D50">
        <w:rPr>
          <w:rFonts w:ascii="Times New Roman" w:hAnsi="Times New Roman" w:cs="Times New Roman"/>
        </w:rPr>
        <w:t xml:space="preserve">. ap. pós-sinodal </w:t>
      </w:r>
      <w:r w:rsidRPr="00DA4D50">
        <w:rPr>
          <w:rFonts w:ascii="Times New Roman" w:hAnsi="Times New Roman" w:cs="Times New Roman"/>
          <w:i/>
          <w:lang w:val="fi-FI"/>
        </w:rPr>
        <w:t>Pastores dabo vobis</w:t>
      </w:r>
      <w:r w:rsidRPr="00DA4D50">
        <w:rPr>
          <w:rFonts w:ascii="Times New Roman" w:hAnsi="Times New Roman" w:cs="Times New Roman"/>
        </w:rPr>
        <w:t>, 29.</w:t>
      </w:r>
    </w:p>
  </w:footnote>
  <w:footnote w:id="5">
    <w:p w14:paraId="50651FF2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Conc. </w:t>
      </w:r>
      <w:proofErr w:type="spellStart"/>
      <w:r w:rsidRPr="00DA4D50">
        <w:rPr>
          <w:rFonts w:ascii="Times New Roman" w:hAnsi="Times New Roman" w:cs="Times New Roman"/>
        </w:rPr>
        <w:t>Ecum</w:t>
      </w:r>
      <w:proofErr w:type="spellEnd"/>
      <w:r w:rsidRPr="00DA4D50">
        <w:rPr>
          <w:rFonts w:ascii="Times New Roman" w:hAnsi="Times New Roman" w:cs="Times New Roman"/>
        </w:rPr>
        <w:t xml:space="preserve">. Vat. II, Decr. </w:t>
      </w:r>
      <w:r w:rsidRPr="00DA4D50">
        <w:rPr>
          <w:rFonts w:ascii="Times New Roman" w:hAnsi="Times New Roman" w:cs="Times New Roman"/>
          <w:i/>
          <w:lang w:val="fi-FI"/>
        </w:rPr>
        <w:t>Optatam totius</w:t>
      </w:r>
      <w:r w:rsidRPr="00DA4D50">
        <w:rPr>
          <w:rFonts w:ascii="Times New Roman" w:hAnsi="Times New Roman" w:cs="Times New Roman"/>
        </w:rPr>
        <w:t xml:space="preserve">, 10; C.I.C, can. 247, § 1; Sagrada Congregação para a educação católica, </w:t>
      </w:r>
      <w:r w:rsidRPr="00DA4D50">
        <w:rPr>
          <w:rFonts w:ascii="Times New Roman" w:hAnsi="Times New Roman" w:cs="Times New Roman"/>
          <w:i/>
          <w:lang w:val="fi-FI"/>
        </w:rPr>
        <w:t xml:space="preserve">Ratio Fundamentalis Institutionis Sacerdotalis </w:t>
      </w:r>
      <w:r w:rsidRPr="00DA4D50">
        <w:rPr>
          <w:rFonts w:ascii="Times New Roman" w:hAnsi="Times New Roman" w:cs="Times New Roman"/>
        </w:rPr>
        <w:t xml:space="preserve">(19 de março de 1985), 48; </w:t>
      </w:r>
      <w:r w:rsidRPr="00DA4D50">
        <w:rPr>
          <w:rFonts w:ascii="Times New Roman" w:hAnsi="Times New Roman" w:cs="Times New Roman"/>
          <w:i/>
        </w:rPr>
        <w:t>Orientações educativas para a formação ao celibato sacerdotal</w:t>
      </w:r>
      <w:r w:rsidRPr="00DA4D50">
        <w:rPr>
          <w:rFonts w:ascii="Times New Roman" w:hAnsi="Times New Roman" w:cs="Times New Roman"/>
        </w:rPr>
        <w:t xml:space="preserve"> (11 de abril de 1974), 16: EV 5 (1974-1976), 200-201.</w:t>
      </w:r>
    </w:p>
  </w:footnote>
  <w:footnote w:id="6">
    <w:p w14:paraId="528754D7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Conc. </w:t>
      </w:r>
      <w:proofErr w:type="spellStart"/>
      <w:r w:rsidRPr="00DA4D50">
        <w:rPr>
          <w:rFonts w:ascii="Times New Roman" w:hAnsi="Times New Roman" w:cs="Times New Roman"/>
        </w:rPr>
        <w:t>Ecum</w:t>
      </w:r>
      <w:proofErr w:type="spellEnd"/>
      <w:r w:rsidRPr="00DA4D50">
        <w:rPr>
          <w:rFonts w:ascii="Times New Roman" w:hAnsi="Times New Roman" w:cs="Times New Roman"/>
        </w:rPr>
        <w:t xml:space="preserve">. Vat. II, Decr. </w:t>
      </w:r>
      <w:r w:rsidRPr="00DA4D50">
        <w:rPr>
          <w:rFonts w:ascii="Times New Roman" w:hAnsi="Times New Roman" w:cs="Times New Roman"/>
          <w:i/>
          <w:lang w:val="fi-FI"/>
        </w:rPr>
        <w:t>Presbyterorum Ordinis</w:t>
      </w:r>
      <w:r w:rsidRPr="00DA4D50">
        <w:rPr>
          <w:rFonts w:ascii="Times New Roman" w:hAnsi="Times New Roman" w:cs="Times New Roman"/>
        </w:rPr>
        <w:t xml:space="preserve">, 16; João Paulo II, </w:t>
      </w:r>
      <w:r w:rsidRPr="00DA4D50">
        <w:rPr>
          <w:rFonts w:ascii="Times New Roman" w:hAnsi="Times New Roman" w:cs="Times New Roman"/>
          <w:i/>
        </w:rPr>
        <w:t xml:space="preserve">Carta aos sacerdotes por ocasião da Quinta-feira Santa de 1979 </w:t>
      </w:r>
      <w:r w:rsidRPr="00DA4D50">
        <w:rPr>
          <w:rFonts w:ascii="Times New Roman" w:hAnsi="Times New Roman" w:cs="Times New Roman"/>
        </w:rPr>
        <w:t xml:space="preserve">(8 de abril de 1979), 8: l.c., 405-409; </w:t>
      </w:r>
      <w:proofErr w:type="spellStart"/>
      <w:r w:rsidRPr="00DA4D50">
        <w:rPr>
          <w:rFonts w:ascii="Times New Roman" w:hAnsi="Times New Roman" w:cs="Times New Roman"/>
        </w:rPr>
        <w:t>Exort</w:t>
      </w:r>
      <w:proofErr w:type="spellEnd"/>
      <w:r w:rsidRPr="00DA4D50">
        <w:rPr>
          <w:rFonts w:ascii="Times New Roman" w:hAnsi="Times New Roman" w:cs="Times New Roman"/>
        </w:rPr>
        <w:t xml:space="preserve">. ap. pós-sinodal </w:t>
      </w:r>
      <w:r w:rsidRPr="00DA4D50">
        <w:rPr>
          <w:rFonts w:ascii="Times New Roman" w:hAnsi="Times New Roman" w:cs="Times New Roman"/>
          <w:i/>
          <w:lang w:val="fi-FI"/>
        </w:rPr>
        <w:t>Pastores dabo vobis</w:t>
      </w:r>
      <w:r w:rsidRPr="00DA4D50">
        <w:rPr>
          <w:rFonts w:ascii="Times New Roman" w:hAnsi="Times New Roman" w:cs="Times New Roman"/>
        </w:rPr>
        <w:t xml:space="preserve">, 29; </w:t>
      </w:r>
      <w:r w:rsidRPr="00DA4D50">
        <w:rPr>
          <w:rFonts w:ascii="Times New Roman" w:hAnsi="Times New Roman" w:cs="Times New Roman"/>
          <w:i/>
        </w:rPr>
        <w:t>C.I.C,</w:t>
      </w:r>
      <w:r w:rsidRPr="00DA4D50">
        <w:rPr>
          <w:rFonts w:ascii="Times New Roman" w:hAnsi="Times New Roman" w:cs="Times New Roman"/>
        </w:rPr>
        <w:t xml:space="preserve"> can. 277, § 1.</w:t>
      </w:r>
    </w:p>
  </w:footnote>
  <w:footnote w:id="7">
    <w:p w14:paraId="2CCE9259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Paulo VI, Carta enc. </w:t>
      </w:r>
      <w:r w:rsidRPr="00DA4D50">
        <w:rPr>
          <w:rFonts w:ascii="Times New Roman" w:hAnsi="Times New Roman" w:cs="Times New Roman"/>
          <w:i/>
          <w:lang w:val="fi-FI"/>
        </w:rPr>
        <w:t>Sacerdotalis cælibatus</w:t>
      </w:r>
      <w:r w:rsidRPr="00DA4D50">
        <w:rPr>
          <w:rFonts w:ascii="Times New Roman" w:hAnsi="Times New Roman" w:cs="Times New Roman"/>
        </w:rPr>
        <w:t xml:space="preserve"> (24 de junho de 1967), 55.</w:t>
      </w:r>
    </w:p>
  </w:footnote>
  <w:footnote w:id="8">
    <w:p w14:paraId="0BD13CCC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Conc. </w:t>
      </w:r>
      <w:proofErr w:type="spellStart"/>
      <w:r w:rsidRPr="00DA4D50">
        <w:rPr>
          <w:rFonts w:ascii="Times New Roman" w:hAnsi="Times New Roman" w:cs="Times New Roman"/>
        </w:rPr>
        <w:t>Ecum</w:t>
      </w:r>
      <w:proofErr w:type="spellEnd"/>
      <w:r w:rsidRPr="00DA4D50">
        <w:rPr>
          <w:rFonts w:ascii="Times New Roman" w:hAnsi="Times New Roman" w:cs="Times New Roman"/>
        </w:rPr>
        <w:t xml:space="preserve">. Vat. II, Decr. </w:t>
      </w:r>
      <w:r w:rsidRPr="00DA4D50">
        <w:rPr>
          <w:rFonts w:ascii="Times New Roman" w:hAnsi="Times New Roman" w:cs="Times New Roman"/>
          <w:i/>
          <w:lang w:val="fi-FI"/>
        </w:rPr>
        <w:t>Presbyterorum Ordinis</w:t>
      </w:r>
      <w:r w:rsidRPr="00DA4D50">
        <w:rPr>
          <w:rFonts w:ascii="Times New Roman" w:hAnsi="Times New Roman" w:cs="Times New Roman"/>
        </w:rPr>
        <w:t xml:space="preserve">, 16; Paulo VI, Carta enc. </w:t>
      </w:r>
      <w:r w:rsidRPr="00DA4D50">
        <w:rPr>
          <w:rFonts w:ascii="Times New Roman" w:hAnsi="Times New Roman" w:cs="Times New Roman"/>
          <w:i/>
          <w:lang w:val="fi-FI"/>
        </w:rPr>
        <w:t>Sacerdotalis cælibatus</w:t>
      </w:r>
      <w:r w:rsidRPr="00DA4D50">
        <w:rPr>
          <w:rFonts w:ascii="Times New Roman" w:hAnsi="Times New Roman" w:cs="Times New Roman"/>
        </w:rPr>
        <w:t xml:space="preserve"> (24 de junho de 1967), 14.</w:t>
      </w:r>
    </w:p>
  </w:footnote>
  <w:footnote w:id="9">
    <w:p w14:paraId="75161720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Conc. </w:t>
      </w:r>
      <w:proofErr w:type="spellStart"/>
      <w:r w:rsidRPr="00DA4D50">
        <w:rPr>
          <w:rFonts w:ascii="Times New Roman" w:hAnsi="Times New Roman" w:cs="Times New Roman"/>
        </w:rPr>
        <w:t>Ecum</w:t>
      </w:r>
      <w:proofErr w:type="spellEnd"/>
      <w:r w:rsidRPr="00DA4D50">
        <w:rPr>
          <w:rFonts w:ascii="Times New Roman" w:hAnsi="Times New Roman" w:cs="Times New Roman"/>
        </w:rPr>
        <w:t xml:space="preserve">. Vat. II, Decr. </w:t>
      </w:r>
      <w:r w:rsidRPr="00DA4D50">
        <w:rPr>
          <w:rFonts w:ascii="Times New Roman" w:hAnsi="Times New Roman" w:cs="Times New Roman"/>
          <w:i/>
          <w:lang w:val="fi-FI"/>
        </w:rPr>
        <w:t>Presbyterorum Ordinis</w:t>
      </w:r>
      <w:r w:rsidRPr="00DA4D50">
        <w:rPr>
          <w:rFonts w:ascii="Times New Roman" w:hAnsi="Times New Roman" w:cs="Times New Roman"/>
        </w:rPr>
        <w:t xml:space="preserve">, 16; </w:t>
      </w:r>
      <w:r w:rsidRPr="00DA4D50">
        <w:rPr>
          <w:rFonts w:ascii="Times New Roman" w:hAnsi="Times New Roman" w:cs="Times New Roman"/>
          <w:i/>
        </w:rPr>
        <w:t>C.I.C,</w:t>
      </w:r>
      <w:r w:rsidRPr="00DA4D50">
        <w:rPr>
          <w:rFonts w:ascii="Times New Roman" w:hAnsi="Times New Roman" w:cs="Times New Roman"/>
        </w:rPr>
        <w:t xml:space="preserve"> </w:t>
      </w:r>
      <w:proofErr w:type="spellStart"/>
      <w:r w:rsidRPr="00DA4D50">
        <w:rPr>
          <w:rFonts w:ascii="Times New Roman" w:hAnsi="Times New Roman" w:cs="Times New Roman"/>
        </w:rPr>
        <w:t>cann</w:t>
      </w:r>
      <w:proofErr w:type="spellEnd"/>
      <w:r w:rsidRPr="00DA4D50">
        <w:rPr>
          <w:rFonts w:ascii="Times New Roman" w:hAnsi="Times New Roman" w:cs="Times New Roman"/>
        </w:rPr>
        <w:t>. 1036; 1037.</w:t>
      </w:r>
    </w:p>
  </w:footnote>
  <w:footnote w:id="10">
    <w:p w14:paraId="6B822F97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</w:t>
      </w:r>
      <w:r w:rsidRPr="00DA4D50">
        <w:rPr>
          <w:rFonts w:ascii="Times New Roman" w:hAnsi="Times New Roman" w:cs="Times New Roman"/>
          <w:i/>
          <w:lang w:val="fi-FI"/>
        </w:rPr>
        <w:t>Pontificale Romanum, De ordinatione Episcopi, Presbyterorum et Diaconorum,</w:t>
      </w:r>
      <w:r w:rsidRPr="00DA4D50">
        <w:rPr>
          <w:rFonts w:ascii="Times New Roman" w:hAnsi="Times New Roman" w:cs="Times New Roman"/>
        </w:rPr>
        <w:t xml:space="preserve"> III, 228, l.c., 134; João Paulo II, </w:t>
      </w:r>
      <w:r w:rsidRPr="00DA4D50">
        <w:rPr>
          <w:rFonts w:ascii="Times New Roman" w:hAnsi="Times New Roman" w:cs="Times New Roman"/>
          <w:i/>
        </w:rPr>
        <w:t>Carta aos sacerdotes por ocasião da Quinta-feira Santa de 1979</w:t>
      </w:r>
      <w:r w:rsidRPr="00DA4D50">
        <w:rPr>
          <w:rFonts w:ascii="Times New Roman" w:hAnsi="Times New Roman" w:cs="Times New Roman"/>
        </w:rPr>
        <w:t xml:space="preserve"> (8 de abril de 1979), 9: l.c., 409-411.</w:t>
      </w:r>
    </w:p>
  </w:footnote>
  <w:footnote w:id="11">
    <w:p w14:paraId="7C68B58E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Sínodo dos Bispos, Documento sobre o sacerdócio ministerial </w:t>
      </w:r>
      <w:r w:rsidRPr="00DA4D50">
        <w:rPr>
          <w:rFonts w:ascii="Times New Roman" w:hAnsi="Times New Roman" w:cs="Times New Roman"/>
          <w:i/>
          <w:lang w:val="fi-FI"/>
        </w:rPr>
        <w:t xml:space="preserve">Ultimis temporibus </w:t>
      </w:r>
      <w:r w:rsidRPr="00DA4D50">
        <w:rPr>
          <w:rFonts w:ascii="Times New Roman" w:hAnsi="Times New Roman" w:cs="Times New Roman"/>
        </w:rPr>
        <w:t xml:space="preserve">(30 de novembro de 1971), II, I, 4: </w:t>
      </w:r>
      <w:r w:rsidRPr="00DE4F54">
        <w:rPr>
          <w:rFonts w:ascii="Times New Roman" w:hAnsi="Times New Roman" w:cs="Times New Roman"/>
          <w:i/>
        </w:rPr>
        <w:t>l.c.</w:t>
      </w:r>
      <w:r w:rsidRPr="00DA4D50">
        <w:rPr>
          <w:rFonts w:ascii="Times New Roman" w:hAnsi="Times New Roman" w:cs="Times New Roman"/>
        </w:rPr>
        <w:t>, 916-917.</w:t>
      </w:r>
    </w:p>
  </w:footnote>
  <w:footnote w:id="12">
    <w:p w14:paraId="5809F29C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Conc. </w:t>
      </w:r>
      <w:proofErr w:type="spellStart"/>
      <w:r w:rsidRPr="00DA4D50">
        <w:rPr>
          <w:rFonts w:ascii="Times New Roman" w:hAnsi="Times New Roman" w:cs="Times New Roman"/>
        </w:rPr>
        <w:t>Ecum</w:t>
      </w:r>
      <w:proofErr w:type="spellEnd"/>
      <w:r w:rsidRPr="00DA4D50">
        <w:rPr>
          <w:rFonts w:ascii="Times New Roman" w:hAnsi="Times New Roman" w:cs="Times New Roman"/>
        </w:rPr>
        <w:t xml:space="preserve">. Vat. II, Decr. </w:t>
      </w:r>
      <w:r w:rsidRPr="00DA4D50">
        <w:rPr>
          <w:rFonts w:ascii="Times New Roman" w:hAnsi="Times New Roman" w:cs="Times New Roman"/>
          <w:i/>
          <w:lang w:val="fi-FI"/>
        </w:rPr>
        <w:t>Presbyterorum Ordinis</w:t>
      </w:r>
      <w:r w:rsidRPr="00DA4D50">
        <w:rPr>
          <w:rFonts w:ascii="Times New Roman" w:hAnsi="Times New Roman" w:cs="Times New Roman"/>
        </w:rPr>
        <w:t>, 16.</w:t>
      </w:r>
    </w:p>
  </w:footnote>
  <w:footnote w:id="13">
    <w:p w14:paraId="10AD256A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</w:t>
      </w:r>
      <w:r w:rsidRPr="00DA4D50">
        <w:rPr>
          <w:rFonts w:ascii="Times New Roman" w:hAnsi="Times New Roman" w:cs="Times New Roman"/>
          <w:i/>
        </w:rPr>
        <w:t>ibid</w:t>
      </w:r>
      <w:r w:rsidRPr="00DA4D50">
        <w:rPr>
          <w:rFonts w:ascii="Times New Roman" w:hAnsi="Times New Roman" w:cs="Times New Roman"/>
        </w:rPr>
        <w:t>.</w:t>
      </w:r>
    </w:p>
  </w:footnote>
  <w:footnote w:id="14">
    <w:p w14:paraId="5D8105B5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João Paulo II, </w:t>
      </w:r>
      <w:r w:rsidRPr="00DA4D50">
        <w:rPr>
          <w:rFonts w:ascii="Times New Roman" w:hAnsi="Times New Roman" w:cs="Times New Roman"/>
          <w:i/>
        </w:rPr>
        <w:t>Carta aos sacerdotes por ocasião da Quinta-feira Santa</w:t>
      </w:r>
      <w:r w:rsidRPr="00DA4D50">
        <w:rPr>
          <w:rFonts w:ascii="Times New Roman" w:hAnsi="Times New Roman" w:cs="Times New Roman"/>
        </w:rPr>
        <w:t xml:space="preserve"> (8 de abril de 1979), 8: </w:t>
      </w:r>
      <w:r w:rsidRPr="00DA4D50">
        <w:rPr>
          <w:rFonts w:ascii="Times New Roman" w:hAnsi="Times New Roman" w:cs="Times New Roman"/>
          <w:i/>
          <w:lang w:val="it-IT"/>
        </w:rPr>
        <w:t>Insegnamenti</w:t>
      </w:r>
      <w:r w:rsidRPr="00DA4D50">
        <w:rPr>
          <w:rFonts w:ascii="Times New Roman" w:hAnsi="Times New Roman" w:cs="Times New Roman"/>
        </w:rPr>
        <w:t xml:space="preserve"> II/1 (1979), 841-862.</w:t>
      </w:r>
    </w:p>
  </w:footnote>
  <w:footnote w:id="15">
    <w:p w14:paraId="39C4E56B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João Paulo II, </w:t>
      </w:r>
      <w:proofErr w:type="spellStart"/>
      <w:r w:rsidRPr="00DA4D50">
        <w:rPr>
          <w:rFonts w:ascii="Times New Roman" w:hAnsi="Times New Roman" w:cs="Times New Roman"/>
        </w:rPr>
        <w:t>Exort</w:t>
      </w:r>
      <w:proofErr w:type="spellEnd"/>
      <w:r w:rsidRPr="00DA4D50">
        <w:rPr>
          <w:rFonts w:ascii="Times New Roman" w:hAnsi="Times New Roman" w:cs="Times New Roman"/>
        </w:rPr>
        <w:t xml:space="preserve">. ap. pós-sinodal </w:t>
      </w:r>
      <w:r w:rsidRPr="00DA4D50">
        <w:rPr>
          <w:rFonts w:ascii="Times New Roman" w:hAnsi="Times New Roman" w:cs="Times New Roman"/>
          <w:i/>
          <w:lang w:val="fi-FI"/>
        </w:rPr>
        <w:t>Pastores dabo vobis</w:t>
      </w:r>
      <w:r w:rsidRPr="00DA4D50">
        <w:rPr>
          <w:rFonts w:ascii="Times New Roman" w:hAnsi="Times New Roman" w:cs="Times New Roman"/>
        </w:rPr>
        <w:t>, 29.</w:t>
      </w:r>
    </w:p>
  </w:footnote>
  <w:footnote w:id="16">
    <w:p w14:paraId="51A20C97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E4F54">
        <w:rPr>
          <w:rStyle w:val="FootnoteReference"/>
          <w:rFonts w:ascii="Times New Roman" w:hAnsi="Times New Roman" w:cs="Times New Roman"/>
          <w:highlight w:val="yellow"/>
        </w:rPr>
        <w:footnoteRef/>
      </w:r>
      <w:r w:rsidRPr="00DE4F54">
        <w:rPr>
          <w:rFonts w:ascii="Times New Roman" w:hAnsi="Times New Roman" w:cs="Times New Roman"/>
          <w:highlight w:val="yellow"/>
        </w:rPr>
        <w:t xml:space="preserve"> </w:t>
      </w:r>
      <w:r w:rsidRPr="00DE4F54">
        <w:rPr>
          <w:rFonts w:ascii="Times New Roman" w:hAnsi="Times New Roman" w:cs="Times New Roman"/>
          <w:highlight w:val="yellow"/>
        </w:rPr>
        <w:t>Para a interpretação destes textos, cf. Conc. de</w:t>
      </w:r>
      <w:bookmarkStart w:id="1" w:name="_GoBack"/>
      <w:bookmarkEnd w:id="1"/>
      <w:r w:rsidRPr="00DE4F54">
        <w:rPr>
          <w:rFonts w:ascii="Times New Roman" w:hAnsi="Times New Roman" w:cs="Times New Roman"/>
          <w:highlight w:val="yellow"/>
        </w:rPr>
        <w:t xml:space="preserve"> Elvira (a. 305), </w:t>
      </w:r>
      <w:proofErr w:type="spellStart"/>
      <w:r w:rsidRPr="00DE4F54">
        <w:rPr>
          <w:rFonts w:ascii="Times New Roman" w:hAnsi="Times New Roman" w:cs="Times New Roman"/>
          <w:highlight w:val="yellow"/>
        </w:rPr>
        <w:t>cann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. 27; 33: </w:t>
      </w:r>
      <w:proofErr w:type="spellStart"/>
      <w:r w:rsidRPr="00DE4F54">
        <w:rPr>
          <w:rFonts w:ascii="Times New Roman" w:hAnsi="Times New Roman" w:cs="Times New Roman"/>
          <w:highlight w:val="yellow"/>
        </w:rPr>
        <w:t>Bruns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E4F54">
        <w:rPr>
          <w:rFonts w:ascii="Times New Roman" w:hAnsi="Times New Roman" w:cs="Times New Roman"/>
          <w:highlight w:val="yellow"/>
        </w:rPr>
        <w:t>Herm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., </w:t>
      </w:r>
      <w:r w:rsidRPr="00DE4F54">
        <w:rPr>
          <w:rFonts w:ascii="Times New Roman" w:hAnsi="Times New Roman" w:cs="Times New Roman"/>
          <w:i/>
          <w:highlight w:val="yellow"/>
          <w:lang w:val="fi-FI"/>
        </w:rPr>
        <w:t>Canones Apostolorum et Conciliorum sæc. IV-VI II</w:t>
      </w:r>
      <w:r w:rsidRPr="00DE4F54">
        <w:rPr>
          <w:rFonts w:ascii="Times New Roman" w:hAnsi="Times New Roman" w:cs="Times New Roman"/>
          <w:highlight w:val="yellow"/>
        </w:rPr>
        <w:t xml:space="preserve">, 5-6; Conc. de </w:t>
      </w:r>
      <w:proofErr w:type="spellStart"/>
      <w:r w:rsidRPr="00DE4F54">
        <w:rPr>
          <w:rFonts w:ascii="Times New Roman" w:hAnsi="Times New Roman" w:cs="Times New Roman"/>
          <w:highlight w:val="yellow"/>
        </w:rPr>
        <w:t>Neocesarea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 (a. 314), can. 1: </w:t>
      </w:r>
      <w:proofErr w:type="spellStart"/>
      <w:r w:rsidRPr="00DE4F54">
        <w:rPr>
          <w:rFonts w:ascii="Times New Roman" w:hAnsi="Times New Roman" w:cs="Times New Roman"/>
          <w:i/>
          <w:highlight w:val="yellow"/>
          <w:lang w:val="fi-FI"/>
        </w:rPr>
        <w:t>Pont</w:t>
      </w:r>
      <w:proofErr w:type="spellEnd"/>
      <w:r w:rsidRPr="00DE4F54">
        <w:rPr>
          <w:rFonts w:ascii="Times New Roman" w:hAnsi="Times New Roman" w:cs="Times New Roman"/>
          <w:i/>
          <w:highlight w:val="yellow"/>
          <w:lang w:val="fi-FI"/>
        </w:rPr>
        <w:t>. Commissio ad redigendum CIC Orientalis</w:t>
      </w:r>
      <w:r w:rsidRPr="00DE4F54">
        <w:rPr>
          <w:rFonts w:ascii="Times New Roman" w:hAnsi="Times New Roman" w:cs="Times New Roman"/>
          <w:i/>
          <w:highlight w:val="yellow"/>
        </w:rPr>
        <w:t>, IX</w:t>
      </w:r>
      <w:r w:rsidRPr="00DE4F54">
        <w:rPr>
          <w:rFonts w:ascii="Times New Roman" w:hAnsi="Times New Roman" w:cs="Times New Roman"/>
          <w:highlight w:val="yellow"/>
        </w:rPr>
        <w:t xml:space="preserve">, I/2, 74-82; Conc. </w:t>
      </w:r>
      <w:proofErr w:type="spellStart"/>
      <w:r w:rsidRPr="00DE4F54">
        <w:rPr>
          <w:rFonts w:ascii="Times New Roman" w:hAnsi="Times New Roman" w:cs="Times New Roman"/>
          <w:highlight w:val="yellow"/>
        </w:rPr>
        <w:t>Ecum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. </w:t>
      </w:r>
      <w:proofErr w:type="spellStart"/>
      <w:r w:rsidRPr="00DE4F54">
        <w:rPr>
          <w:rFonts w:ascii="Times New Roman" w:hAnsi="Times New Roman" w:cs="Times New Roman"/>
          <w:highlight w:val="yellow"/>
        </w:rPr>
        <w:t>Niceno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 I (a. 325), can. 3</w:t>
      </w:r>
      <w:r w:rsidRPr="00DE4F54">
        <w:rPr>
          <w:rFonts w:ascii="Times New Roman" w:hAnsi="Times New Roman" w:cs="Times New Roman"/>
          <w:i/>
          <w:highlight w:val="yellow"/>
        </w:rPr>
        <w:t xml:space="preserve">: Conc. </w:t>
      </w:r>
      <w:proofErr w:type="spellStart"/>
      <w:r w:rsidR="00DA4D50" w:rsidRPr="00DE4F54">
        <w:rPr>
          <w:rFonts w:ascii="Times New Roman" w:hAnsi="Times New Roman" w:cs="Times New Roman"/>
          <w:highlight w:val="yellow"/>
        </w:rPr>
        <w:t>Œ</w:t>
      </w:r>
      <w:r w:rsidRPr="00DE4F54">
        <w:rPr>
          <w:rFonts w:ascii="Times New Roman" w:hAnsi="Times New Roman" w:cs="Times New Roman"/>
          <w:i/>
          <w:highlight w:val="yellow"/>
        </w:rPr>
        <w:t>cum</w:t>
      </w:r>
      <w:proofErr w:type="spellEnd"/>
      <w:r w:rsidRPr="00DE4F54">
        <w:rPr>
          <w:rFonts w:ascii="Times New Roman" w:hAnsi="Times New Roman" w:cs="Times New Roman"/>
          <w:i/>
          <w:highlight w:val="yellow"/>
        </w:rPr>
        <w:t>. Decr</w:t>
      </w:r>
      <w:r w:rsidRPr="00DE4F54">
        <w:rPr>
          <w:rFonts w:ascii="Times New Roman" w:hAnsi="Times New Roman" w:cs="Times New Roman"/>
          <w:highlight w:val="yellow"/>
        </w:rPr>
        <w:t>., 6; Conc. de Cartago (a.</w:t>
      </w:r>
      <w:r w:rsidRPr="00DA4D50">
        <w:rPr>
          <w:rFonts w:ascii="Times New Roman" w:hAnsi="Times New Roman" w:cs="Times New Roman"/>
        </w:rPr>
        <w:t xml:space="preserve"> </w:t>
      </w:r>
      <w:r w:rsidRPr="00DE4F54">
        <w:rPr>
          <w:rFonts w:ascii="Times New Roman" w:hAnsi="Times New Roman" w:cs="Times New Roman"/>
          <w:highlight w:val="yellow"/>
        </w:rPr>
        <w:t xml:space="preserve">390): </w:t>
      </w:r>
      <w:r w:rsidRPr="00DE4F54">
        <w:rPr>
          <w:rFonts w:ascii="Times New Roman" w:hAnsi="Times New Roman" w:cs="Times New Roman"/>
          <w:i/>
          <w:highlight w:val="yellow"/>
          <w:lang w:val="fi-FI"/>
        </w:rPr>
        <w:t>Concilia Africæ</w:t>
      </w:r>
      <w:r w:rsidRPr="00DE4F54">
        <w:rPr>
          <w:rFonts w:ascii="Times New Roman" w:hAnsi="Times New Roman" w:cs="Times New Roman"/>
          <w:highlight w:val="yellow"/>
        </w:rPr>
        <w:t xml:space="preserve"> a. 345-525, CCL 149, 13. 133ss; Sínodo Romano (a. 386): </w:t>
      </w:r>
      <w:r w:rsidRPr="00DE4F54">
        <w:rPr>
          <w:rFonts w:ascii="Times New Roman" w:hAnsi="Times New Roman" w:cs="Times New Roman"/>
          <w:i/>
          <w:highlight w:val="yellow"/>
        </w:rPr>
        <w:t xml:space="preserve">Conc. </w:t>
      </w:r>
      <w:proofErr w:type="spellStart"/>
      <w:r w:rsidR="00DA4D50" w:rsidRPr="00DE4F54">
        <w:rPr>
          <w:rFonts w:ascii="Times New Roman" w:hAnsi="Times New Roman" w:cs="Times New Roman"/>
          <w:highlight w:val="yellow"/>
        </w:rPr>
        <w:t>Œ</w:t>
      </w:r>
      <w:r w:rsidRPr="00DE4F54">
        <w:rPr>
          <w:rFonts w:ascii="Times New Roman" w:hAnsi="Times New Roman" w:cs="Times New Roman"/>
          <w:i/>
          <w:highlight w:val="yellow"/>
        </w:rPr>
        <w:t>cum</w:t>
      </w:r>
      <w:proofErr w:type="spellEnd"/>
      <w:r w:rsidRPr="00DE4F54">
        <w:rPr>
          <w:rFonts w:ascii="Times New Roman" w:hAnsi="Times New Roman" w:cs="Times New Roman"/>
          <w:i/>
          <w:highlight w:val="yellow"/>
        </w:rPr>
        <w:t>. Decr</w:t>
      </w:r>
      <w:r w:rsidRPr="00DE4F54">
        <w:rPr>
          <w:rFonts w:ascii="Times New Roman" w:hAnsi="Times New Roman" w:cs="Times New Roman"/>
          <w:highlight w:val="yellow"/>
        </w:rPr>
        <w:t xml:space="preserve">., 58-63; Conc. </w:t>
      </w:r>
      <w:proofErr w:type="spellStart"/>
      <w:r w:rsidRPr="00DE4F54">
        <w:rPr>
          <w:rFonts w:ascii="Times New Roman" w:hAnsi="Times New Roman" w:cs="Times New Roman"/>
          <w:highlight w:val="yellow"/>
        </w:rPr>
        <w:t>Trulano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 II (a. 691), </w:t>
      </w:r>
      <w:proofErr w:type="spellStart"/>
      <w:r w:rsidRPr="00DE4F54">
        <w:rPr>
          <w:rFonts w:ascii="Times New Roman" w:hAnsi="Times New Roman" w:cs="Times New Roman"/>
          <w:highlight w:val="yellow"/>
        </w:rPr>
        <w:t>cann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. 3, 6, 12, 13, 26, 30, 48: </w:t>
      </w:r>
      <w:proofErr w:type="spellStart"/>
      <w:r w:rsidRPr="00DE4F54">
        <w:rPr>
          <w:rFonts w:ascii="Times New Roman" w:hAnsi="Times New Roman" w:cs="Times New Roman"/>
          <w:i/>
          <w:highlight w:val="yellow"/>
          <w:lang w:val="fi-FI"/>
        </w:rPr>
        <w:t>Pont</w:t>
      </w:r>
      <w:proofErr w:type="spellEnd"/>
      <w:r w:rsidRPr="00DE4F54">
        <w:rPr>
          <w:rFonts w:ascii="Times New Roman" w:hAnsi="Times New Roman" w:cs="Times New Roman"/>
          <w:i/>
          <w:highlight w:val="yellow"/>
          <w:lang w:val="fi-FI"/>
        </w:rPr>
        <w:t>. Commissio ad redigendum CIC Orientalis</w:t>
      </w:r>
      <w:r w:rsidRPr="00DE4F54">
        <w:rPr>
          <w:rFonts w:ascii="Times New Roman" w:hAnsi="Times New Roman" w:cs="Times New Roman"/>
          <w:highlight w:val="yellow"/>
        </w:rPr>
        <w:t xml:space="preserve">, IX, I/1, 125-186; </w:t>
      </w:r>
      <w:proofErr w:type="spellStart"/>
      <w:r w:rsidRPr="00DE4F54">
        <w:rPr>
          <w:rFonts w:ascii="Times New Roman" w:hAnsi="Times New Roman" w:cs="Times New Roman"/>
          <w:highlight w:val="yellow"/>
        </w:rPr>
        <w:t>Sirício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, decretal </w:t>
      </w:r>
      <w:r w:rsidRPr="00DE4F54">
        <w:rPr>
          <w:rFonts w:ascii="Times New Roman" w:hAnsi="Times New Roman" w:cs="Times New Roman"/>
          <w:i/>
          <w:highlight w:val="yellow"/>
          <w:lang w:val="fi-FI"/>
        </w:rPr>
        <w:t xml:space="preserve">Directa </w:t>
      </w:r>
      <w:r w:rsidRPr="00DE4F54">
        <w:rPr>
          <w:rFonts w:ascii="Times New Roman" w:hAnsi="Times New Roman" w:cs="Times New Roman"/>
          <w:highlight w:val="yellow"/>
        </w:rPr>
        <w:t xml:space="preserve">(a. 386): </w:t>
      </w:r>
      <w:r w:rsidRPr="00DE4F54">
        <w:rPr>
          <w:rFonts w:ascii="Times New Roman" w:hAnsi="Times New Roman" w:cs="Times New Roman"/>
          <w:i/>
          <w:highlight w:val="yellow"/>
        </w:rPr>
        <w:t>PL</w:t>
      </w:r>
      <w:r w:rsidRPr="00DE4F54">
        <w:rPr>
          <w:rFonts w:ascii="Times New Roman" w:hAnsi="Times New Roman" w:cs="Times New Roman"/>
          <w:highlight w:val="yellow"/>
        </w:rPr>
        <w:t xml:space="preserve"> 13, 1131-1147; Inocêncio I, Carta </w:t>
      </w:r>
      <w:r w:rsidRPr="00DE4F54">
        <w:rPr>
          <w:rFonts w:ascii="Times New Roman" w:hAnsi="Times New Roman" w:cs="Times New Roman"/>
          <w:i/>
          <w:highlight w:val="yellow"/>
          <w:lang w:val="fi-FI"/>
        </w:rPr>
        <w:t>Dominus inter</w:t>
      </w:r>
      <w:r w:rsidRPr="00DE4F54">
        <w:rPr>
          <w:rFonts w:ascii="Times New Roman" w:hAnsi="Times New Roman" w:cs="Times New Roman"/>
          <w:highlight w:val="yellow"/>
        </w:rPr>
        <w:t xml:space="preserve"> (a. 405): </w:t>
      </w:r>
      <w:proofErr w:type="spellStart"/>
      <w:r w:rsidRPr="00DE4F54">
        <w:rPr>
          <w:rFonts w:ascii="Times New Roman" w:hAnsi="Times New Roman" w:cs="Times New Roman"/>
          <w:highlight w:val="yellow"/>
        </w:rPr>
        <w:t>Bruns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 cit. 274-277; S. Leão Magno, </w:t>
      </w:r>
      <w:r w:rsidRPr="00DE4F54">
        <w:rPr>
          <w:rFonts w:ascii="Times New Roman" w:hAnsi="Times New Roman" w:cs="Times New Roman"/>
          <w:i/>
          <w:highlight w:val="yellow"/>
        </w:rPr>
        <w:t xml:space="preserve">Carta a </w:t>
      </w:r>
      <w:proofErr w:type="spellStart"/>
      <w:r w:rsidRPr="00DE4F54">
        <w:rPr>
          <w:rFonts w:ascii="Times New Roman" w:hAnsi="Times New Roman" w:cs="Times New Roman"/>
          <w:i/>
          <w:highlight w:val="yellow"/>
        </w:rPr>
        <w:t>Rusticus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 (a. 456): </w:t>
      </w:r>
      <w:r w:rsidRPr="00DE4F54">
        <w:rPr>
          <w:rFonts w:ascii="Times New Roman" w:hAnsi="Times New Roman" w:cs="Times New Roman"/>
          <w:i/>
          <w:highlight w:val="yellow"/>
        </w:rPr>
        <w:t>PL</w:t>
      </w:r>
      <w:r w:rsidRPr="00DE4F54">
        <w:rPr>
          <w:rFonts w:ascii="Times New Roman" w:hAnsi="Times New Roman" w:cs="Times New Roman"/>
          <w:highlight w:val="yellow"/>
        </w:rPr>
        <w:t xml:space="preserve"> 54, 1191; Eusébio de </w:t>
      </w:r>
      <w:proofErr w:type="spellStart"/>
      <w:r w:rsidRPr="00DE4F54">
        <w:rPr>
          <w:rFonts w:ascii="Times New Roman" w:hAnsi="Times New Roman" w:cs="Times New Roman"/>
          <w:highlight w:val="yellow"/>
        </w:rPr>
        <w:t>Cesaréia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, </w:t>
      </w:r>
      <w:r w:rsidRPr="00DE4F54">
        <w:rPr>
          <w:rFonts w:ascii="Times New Roman" w:hAnsi="Times New Roman" w:cs="Times New Roman"/>
          <w:i/>
          <w:highlight w:val="yellow"/>
          <w:lang w:val="fi-FI"/>
        </w:rPr>
        <w:t>Demonstratio Evangelica</w:t>
      </w:r>
      <w:r w:rsidRPr="00DE4F54">
        <w:rPr>
          <w:rFonts w:ascii="Times New Roman" w:hAnsi="Times New Roman" w:cs="Times New Roman"/>
          <w:highlight w:val="yellow"/>
        </w:rPr>
        <w:t xml:space="preserve">, 1, 9: </w:t>
      </w:r>
      <w:r w:rsidRPr="00DE4F54">
        <w:rPr>
          <w:rFonts w:ascii="Times New Roman" w:hAnsi="Times New Roman" w:cs="Times New Roman"/>
          <w:i/>
          <w:highlight w:val="yellow"/>
        </w:rPr>
        <w:t>PG</w:t>
      </w:r>
      <w:r w:rsidRPr="00DE4F54">
        <w:rPr>
          <w:rFonts w:ascii="Times New Roman" w:hAnsi="Times New Roman" w:cs="Times New Roman"/>
          <w:highlight w:val="yellow"/>
        </w:rPr>
        <w:t xml:space="preserve">, 22, 82; Epifânio de </w:t>
      </w:r>
      <w:proofErr w:type="spellStart"/>
      <w:r w:rsidRPr="00DE4F54">
        <w:rPr>
          <w:rFonts w:ascii="Times New Roman" w:hAnsi="Times New Roman" w:cs="Times New Roman"/>
          <w:highlight w:val="yellow"/>
        </w:rPr>
        <w:t>Salamina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DE4F54">
        <w:rPr>
          <w:rFonts w:ascii="Times New Roman" w:hAnsi="Times New Roman" w:cs="Times New Roman"/>
          <w:i/>
          <w:highlight w:val="yellow"/>
          <w:lang w:val="fi-FI"/>
        </w:rPr>
        <w:t>Panarion</w:t>
      </w:r>
      <w:proofErr w:type="spellEnd"/>
      <w:r w:rsidRPr="00DE4F54">
        <w:rPr>
          <w:rFonts w:ascii="Times New Roman" w:hAnsi="Times New Roman" w:cs="Times New Roman"/>
          <w:highlight w:val="yellow"/>
        </w:rPr>
        <w:t xml:space="preserve">: </w:t>
      </w:r>
      <w:r w:rsidRPr="00DE4F54">
        <w:rPr>
          <w:rFonts w:ascii="Times New Roman" w:hAnsi="Times New Roman" w:cs="Times New Roman"/>
          <w:i/>
          <w:highlight w:val="yellow"/>
        </w:rPr>
        <w:t>PG</w:t>
      </w:r>
      <w:r w:rsidRPr="00DE4F54">
        <w:rPr>
          <w:rFonts w:ascii="Times New Roman" w:hAnsi="Times New Roman" w:cs="Times New Roman"/>
          <w:highlight w:val="yellow"/>
        </w:rPr>
        <w:t xml:space="preserve"> 41, 868. 1024; </w:t>
      </w:r>
      <w:r w:rsidRPr="00DE4F54">
        <w:rPr>
          <w:rFonts w:ascii="Times New Roman" w:hAnsi="Times New Roman" w:cs="Times New Roman"/>
          <w:i/>
          <w:highlight w:val="yellow"/>
          <w:lang w:val="fi-FI"/>
        </w:rPr>
        <w:t>Expositio Fidei, PG</w:t>
      </w:r>
      <w:r w:rsidRPr="00DE4F54">
        <w:rPr>
          <w:rFonts w:ascii="Times New Roman" w:hAnsi="Times New Roman" w:cs="Times New Roman"/>
          <w:highlight w:val="yellow"/>
        </w:rPr>
        <w:t xml:space="preserve"> 42, 823 ss.</w:t>
      </w:r>
    </w:p>
  </w:footnote>
  <w:footnote w:id="17">
    <w:p w14:paraId="50C9EB13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Sagrada Congregação para a educação católica, </w:t>
      </w:r>
      <w:r w:rsidRPr="00DA4D50">
        <w:rPr>
          <w:rFonts w:ascii="Times New Roman" w:hAnsi="Times New Roman" w:cs="Times New Roman"/>
          <w:i/>
        </w:rPr>
        <w:t>Orientações educativas para a formação ao celibato sacerdotal</w:t>
      </w:r>
      <w:r w:rsidRPr="00DA4D50">
        <w:rPr>
          <w:rFonts w:ascii="Times New Roman" w:hAnsi="Times New Roman" w:cs="Times New Roman"/>
        </w:rPr>
        <w:t xml:space="preserve"> (11 de abril de 1974), 16: l.c., 200-201.</w:t>
      </w:r>
    </w:p>
  </w:footnote>
  <w:footnote w:id="18">
    <w:p w14:paraId="6D4C1928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Bento XVI, </w:t>
      </w:r>
      <w:r w:rsidRPr="00DA4D50">
        <w:rPr>
          <w:rFonts w:ascii="Times New Roman" w:hAnsi="Times New Roman" w:cs="Times New Roman"/>
          <w:i/>
        </w:rPr>
        <w:t>Vigília por ocasião da conclusão do Ano Sacerdotal</w:t>
      </w:r>
      <w:r w:rsidRPr="00DA4D50">
        <w:rPr>
          <w:rFonts w:ascii="Times New Roman" w:hAnsi="Times New Roman" w:cs="Times New Roman"/>
        </w:rPr>
        <w:t xml:space="preserve"> (10 de junho de 2010): l.c., 397-406.</w:t>
      </w:r>
    </w:p>
  </w:footnote>
  <w:footnote w:id="19">
    <w:p w14:paraId="1B6E0AE5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Bento XVI, </w:t>
      </w:r>
      <w:r w:rsidRPr="00DA4D50">
        <w:rPr>
          <w:rFonts w:ascii="Times New Roman" w:hAnsi="Times New Roman" w:cs="Times New Roman"/>
          <w:i/>
        </w:rPr>
        <w:t>Discurso aos participantes da Plenária da Congregação para o Clero</w:t>
      </w:r>
      <w:r w:rsidRPr="00DA4D50">
        <w:rPr>
          <w:rFonts w:ascii="Times New Roman" w:hAnsi="Times New Roman" w:cs="Times New Roman"/>
        </w:rPr>
        <w:t xml:space="preserve"> (16 de março de 2009): </w:t>
      </w:r>
      <w:r w:rsidRPr="00DE4F54">
        <w:rPr>
          <w:rFonts w:ascii="Times New Roman" w:hAnsi="Times New Roman" w:cs="Times New Roman"/>
          <w:i/>
        </w:rPr>
        <w:t>l.c</w:t>
      </w:r>
      <w:r w:rsidRPr="00DA4D50">
        <w:rPr>
          <w:rFonts w:ascii="Times New Roman" w:hAnsi="Times New Roman" w:cs="Times New Roman"/>
        </w:rPr>
        <w:t>., 393.</w:t>
      </w:r>
    </w:p>
  </w:footnote>
  <w:footnote w:id="20">
    <w:p w14:paraId="67A4B44D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João Paulo II, </w:t>
      </w:r>
      <w:proofErr w:type="spellStart"/>
      <w:r w:rsidRPr="00DA4D50">
        <w:rPr>
          <w:rFonts w:ascii="Times New Roman" w:hAnsi="Times New Roman" w:cs="Times New Roman"/>
        </w:rPr>
        <w:t>Exort</w:t>
      </w:r>
      <w:proofErr w:type="spellEnd"/>
      <w:r w:rsidRPr="00DA4D50">
        <w:rPr>
          <w:rFonts w:ascii="Times New Roman" w:hAnsi="Times New Roman" w:cs="Times New Roman"/>
        </w:rPr>
        <w:t xml:space="preserve">. ap. pós-sinodal </w:t>
      </w:r>
      <w:r w:rsidRPr="00DA4D50">
        <w:rPr>
          <w:rFonts w:ascii="Times New Roman" w:hAnsi="Times New Roman" w:cs="Times New Roman"/>
          <w:i/>
          <w:lang w:val="fi-FI"/>
        </w:rPr>
        <w:t>Pastores dabo vobis</w:t>
      </w:r>
      <w:r w:rsidRPr="00DA4D50">
        <w:rPr>
          <w:rFonts w:ascii="Times New Roman" w:hAnsi="Times New Roman" w:cs="Times New Roman"/>
        </w:rPr>
        <w:t xml:space="preserve">, 29; 50; Congregação para a educação Católica, Instrução </w:t>
      </w:r>
      <w:r w:rsidRPr="00DA4D50">
        <w:rPr>
          <w:rFonts w:ascii="Times New Roman" w:hAnsi="Times New Roman" w:cs="Times New Roman"/>
          <w:i/>
          <w:lang w:val="it-IT"/>
        </w:rPr>
        <w:t>In continuità</w:t>
      </w:r>
      <w:r w:rsidRPr="00DA4D50">
        <w:rPr>
          <w:rFonts w:ascii="Times New Roman" w:hAnsi="Times New Roman" w:cs="Times New Roman"/>
        </w:rPr>
        <w:t xml:space="preserve"> sobre os critérios de discernimento vocacional acerca das pessoas com tendências homossexuais e da sua admissão ao Seminário e às Ordens Sacras (4 de novembro de 2005): </w:t>
      </w:r>
      <w:r w:rsidRPr="00DE4F54">
        <w:rPr>
          <w:rFonts w:ascii="Times New Roman" w:hAnsi="Times New Roman" w:cs="Times New Roman"/>
          <w:i/>
        </w:rPr>
        <w:t xml:space="preserve">AAS </w:t>
      </w:r>
      <w:r w:rsidRPr="00DA4D50">
        <w:rPr>
          <w:rFonts w:ascii="Times New Roman" w:hAnsi="Times New Roman" w:cs="Times New Roman"/>
        </w:rPr>
        <w:t xml:space="preserve">97 (2005), 1007-1013; </w:t>
      </w:r>
      <w:r w:rsidRPr="00DA4D50">
        <w:rPr>
          <w:rFonts w:ascii="Times New Roman" w:hAnsi="Times New Roman" w:cs="Times New Roman"/>
          <w:i/>
        </w:rPr>
        <w:t xml:space="preserve">Orientações educativas para a formação ao celibato sacerdotal </w:t>
      </w:r>
      <w:r w:rsidRPr="00DA4D50">
        <w:rPr>
          <w:rFonts w:ascii="Times New Roman" w:hAnsi="Times New Roman" w:cs="Times New Roman"/>
        </w:rPr>
        <w:t xml:space="preserve">(11 de abril de 1974): </w:t>
      </w:r>
      <w:r w:rsidRPr="00DA4D50">
        <w:rPr>
          <w:rFonts w:ascii="Times New Roman" w:hAnsi="Times New Roman" w:cs="Times New Roman"/>
          <w:i/>
        </w:rPr>
        <w:t>EV</w:t>
      </w:r>
      <w:r w:rsidRPr="00DA4D50">
        <w:rPr>
          <w:rFonts w:ascii="Times New Roman" w:hAnsi="Times New Roman" w:cs="Times New Roman"/>
        </w:rPr>
        <w:t xml:space="preserve"> 5 (1974-1976), 188-256.</w:t>
      </w:r>
    </w:p>
  </w:footnote>
  <w:footnote w:id="21">
    <w:p w14:paraId="34A5E842" w14:textId="77777777" w:rsidR="00ED3DAA" w:rsidRPr="00DA4D50" w:rsidRDefault="00ED3DAA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S. João </w:t>
      </w:r>
      <w:proofErr w:type="spellStart"/>
      <w:r w:rsidRPr="00DA4D50">
        <w:rPr>
          <w:rFonts w:ascii="Times New Roman" w:hAnsi="Times New Roman" w:cs="Times New Roman"/>
        </w:rPr>
        <w:t>Crisóstomo</w:t>
      </w:r>
      <w:proofErr w:type="spellEnd"/>
      <w:r w:rsidRPr="00DA4D50">
        <w:rPr>
          <w:rFonts w:ascii="Times New Roman" w:hAnsi="Times New Roman" w:cs="Times New Roman"/>
        </w:rPr>
        <w:t xml:space="preserve">, </w:t>
      </w:r>
      <w:r w:rsidRPr="00DA4D50">
        <w:rPr>
          <w:rFonts w:ascii="Times New Roman" w:hAnsi="Times New Roman" w:cs="Times New Roman"/>
          <w:i/>
          <w:lang w:val="fi-FI"/>
        </w:rPr>
        <w:t>De Sacerdotio</w:t>
      </w:r>
      <w:r w:rsidRPr="00DA4D50">
        <w:rPr>
          <w:rFonts w:ascii="Times New Roman" w:hAnsi="Times New Roman" w:cs="Times New Roman"/>
        </w:rPr>
        <w:t>, VI, 2: PG 48, 679: «A alma do sacerdote deve ser mais pura que os raios do sol, para que o Espírito Santo não o abandone e para poder dizer: “Já não sou eu que vivo, é Cristo que vive em mim” (</w:t>
      </w:r>
      <w:proofErr w:type="spellStart"/>
      <w:r w:rsidRPr="00DE4F54">
        <w:rPr>
          <w:rFonts w:ascii="Times New Roman" w:hAnsi="Times New Roman" w:cs="Times New Roman"/>
          <w:i/>
        </w:rPr>
        <w:t>Gl</w:t>
      </w:r>
      <w:proofErr w:type="spellEnd"/>
      <w:r w:rsidRPr="00DA4D50">
        <w:rPr>
          <w:rFonts w:ascii="Times New Roman" w:hAnsi="Times New Roman" w:cs="Times New Roman"/>
        </w:rPr>
        <w:t xml:space="preserve"> 2,20). Se os anacoretas do deserto, longe das cidades e dos lugares públicos e de todo o barulho próprio daqueles lugares, gozando plenamente o porto e a bonança, não se atrevem a confiar na segurança daquela sua vida, mas acrescentam outras infinitas atenções, acautelando-se de todos os perigos e preocupando-se de fazer ou dizer todas as coisas com grande diligência, para poder-se apresentar perante Deus com confiança e pureza intacta, tanto quanto é possível às faculdades humanas; que força e que violência te parecem ser necessárias ao sacerdote para subtrair a sua alma a toda a mancha e conservar intacta a sua beleza espiritual? Ele precisa certamente de pureza maior que a dos monges. E, todavia, precisamente ele, que mais necessidade tem dela, está exposto a maiores ocasiões inevitáveis, nas quais pode ser contaminado, se com assídua sobriedade e vigilância não tornar a sua alma inacessível àquelas insídias».</w:t>
      </w:r>
    </w:p>
  </w:footnote>
  <w:footnote w:id="22">
    <w:p w14:paraId="5BCBF03C" w14:textId="77777777" w:rsidR="00401F57" w:rsidRPr="00DA4D50" w:rsidRDefault="00401F57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</w:t>
      </w:r>
      <w:r w:rsidRPr="00DA4D50">
        <w:rPr>
          <w:rFonts w:ascii="Times New Roman" w:hAnsi="Times New Roman" w:cs="Times New Roman"/>
          <w:i/>
        </w:rPr>
        <w:t>C.I.C</w:t>
      </w:r>
      <w:r w:rsidRPr="00DA4D50">
        <w:rPr>
          <w:rFonts w:ascii="Times New Roman" w:hAnsi="Times New Roman" w:cs="Times New Roman"/>
        </w:rPr>
        <w:t>, can. 277, § 2.</w:t>
      </w:r>
    </w:p>
  </w:footnote>
  <w:footnote w:id="23">
    <w:p w14:paraId="39CC19D8" w14:textId="77777777" w:rsidR="00401F57" w:rsidRPr="00DA4D50" w:rsidRDefault="00401F57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</w:t>
      </w:r>
      <w:r w:rsidRPr="00DA4D50">
        <w:rPr>
          <w:rFonts w:ascii="Times New Roman" w:hAnsi="Times New Roman" w:cs="Times New Roman"/>
          <w:i/>
        </w:rPr>
        <w:t>ibid</w:t>
      </w:r>
      <w:r w:rsidRPr="00DA4D50">
        <w:rPr>
          <w:rFonts w:ascii="Times New Roman" w:hAnsi="Times New Roman" w:cs="Times New Roman"/>
        </w:rPr>
        <w:t>., can. 277, § 3.</w:t>
      </w:r>
    </w:p>
  </w:footnote>
  <w:footnote w:id="24">
    <w:p w14:paraId="66084A75" w14:textId="77777777" w:rsidR="00401F57" w:rsidRPr="00DA4D50" w:rsidRDefault="00401F57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João Paulo II, </w:t>
      </w:r>
      <w:r w:rsidRPr="00DA4D50">
        <w:rPr>
          <w:rFonts w:ascii="Times New Roman" w:hAnsi="Times New Roman" w:cs="Times New Roman"/>
          <w:lang w:val="fi-FI"/>
        </w:rPr>
        <w:t xml:space="preserve">Litteræ apostolicæ Motu proprio </w:t>
      </w:r>
      <w:r w:rsidRPr="00DA4D50">
        <w:rPr>
          <w:rFonts w:ascii="Times New Roman" w:hAnsi="Times New Roman" w:cs="Times New Roman"/>
          <w:i/>
          <w:lang w:val="fi-FI"/>
        </w:rPr>
        <w:t>dat</w:t>
      </w:r>
      <w:r w:rsidRPr="00DA4D50">
        <w:rPr>
          <w:rFonts w:ascii="Times New Roman" w:hAnsi="Times New Roman" w:cs="Times New Roman"/>
          <w:i/>
          <w:lang w:val="fi-FI"/>
        </w:rPr>
        <w:t>æ</w:t>
      </w:r>
      <w:r w:rsidRPr="00DA4D50">
        <w:rPr>
          <w:rFonts w:ascii="Times New Roman" w:hAnsi="Times New Roman" w:cs="Times New Roman"/>
          <w:i/>
          <w:lang w:val="fi-FI"/>
        </w:rPr>
        <w:t xml:space="preserve"> Sacramentorum sanctitatis tutela quibus Norm</w:t>
      </w:r>
      <w:r w:rsidRPr="00DA4D50">
        <w:rPr>
          <w:rFonts w:ascii="Times New Roman" w:hAnsi="Times New Roman" w:cs="Times New Roman"/>
          <w:i/>
          <w:lang w:val="fi-FI"/>
        </w:rPr>
        <w:t>æ</w:t>
      </w:r>
      <w:r w:rsidRPr="00DA4D50">
        <w:rPr>
          <w:rFonts w:ascii="Times New Roman" w:hAnsi="Times New Roman" w:cs="Times New Roman"/>
          <w:i/>
          <w:lang w:val="fi-FI"/>
        </w:rPr>
        <w:t xml:space="preserve"> de gravioribus delictis Congregationi pro Doctrina Fidei reservatis promulgantur</w:t>
      </w:r>
      <w:r w:rsidRPr="00DA4D50">
        <w:rPr>
          <w:rFonts w:ascii="Times New Roman" w:hAnsi="Times New Roman" w:cs="Times New Roman"/>
          <w:i/>
        </w:rPr>
        <w:t xml:space="preserve"> </w:t>
      </w:r>
      <w:r w:rsidRPr="00DA4D50">
        <w:rPr>
          <w:rFonts w:ascii="Times New Roman" w:hAnsi="Times New Roman" w:cs="Times New Roman"/>
        </w:rPr>
        <w:t xml:space="preserve">(30 de abril de 2001): </w:t>
      </w:r>
      <w:r w:rsidRPr="00DA4D50">
        <w:rPr>
          <w:rFonts w:ascii="Times New Roman" w:hAnsi="Times New Roman" w:cs="Times New Roman"/>
          <w:i/>
        </w:rPr>
        <w:t>AAS</w:t>
      </w:r>
      <w:r w:rsidRPr="00DA4D50">
        <w:rPr>
          <w:rFonts w:ascii="Times New Roman" w:hAnsi="Times New Roman" w:cs="Times New Roman"/>
        </w:rPr>
        <w:t xml:space="preserve"> 93 (2001), 737-739 (modificadas por Bento XVI em 21 de maio de 2010: </w:t>
      </w:r>
      <w:r w:rsidRPr="00DA4D50">
        <w:rPr>
          <w:rFonts w:ascii="Times New Roman" w:hAnsi="Times New Roman" w:cs="Times New Roman"/>
          <w:i/>
        </w:rPr>
        <w:t>AAS</w:t>
      </w:r>
      <w:r w:rsidRPr="00DA4D50">
        <w:rPr>
          <w:rFonts w:ascii="Times New Roman" w:hAnsi="Times New Roman" w:cs="Times New Roman"/>
        </w:rPr>
        <w:t xml:space="preserve"> 102 [2010] 419-430).</w:t>
      </w:r>
    </w:p>
  </w:footnote>
  <w:footnote w:id="25">
    <w:p w14:paraId="671D6649" w14:textId="77777777" w:rsidR="00401F57" w:rsidRPr="00DA4D50" w:rsidRDefault="00401F57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Conc. </w:t>
      </w:r>
      <w:proofErr w:type="spellStart"/>
      <w:r w:rsidRPr="00DA4D50">
        <w:rPr>
          <w:rFonts w:ascii="Times New Roman" w:hAnsi="Times New Roman" w:cs="Times New Roman"/>
        </w:rPr>
        <w:t>Ecum</w:t>
      </w:r>
      <w:proofErr w:type="spellEnd"/>
      <w:r w:rsidRPr="00DA4D50">
        <w:rPr>
          <w:rFonts w:ascii="Times New Roman" w:hAnsi="Times New Roman" w:cs="Times New Roman"/>
        </w:rPr>
        <w:t xml:space="preserve">. Vat. II, Decr. </w:t>
      </w:r>
      <w:r w:rsidRPr="00DA4D50">
        <w:rPr>
          <w:rFonts w:ascii="Times New Roman" w:hAnsi="Times New Roman" w:cs="Times New Roman"/>
          <w:i/>
          <w:lang w:val="fi-FI"/>
        </w:rPr>
        <w:t>Presbyterorum Ordinis</w:t>
      </w:r>
      <w:r w:rsidRPr="00DA4D50">
        <w:rPr>
          <w:rFonts w:ascii="Times New Roman" w:hAnsi="Times New Roman" w:cs="Times New Roman"/>
        </w:rPr>
        <w:t>, 16.</w:t>
      </w:r>
    </w:p>
  </w:footnote>
  <w:footnote w:id="26">
    <w:p w14:paraId="6DE9DB0E" w14:textId="77777777" w:rsidR="00401F57" w:rsidRPr="00DA4D50" w:rsidRDefault="00401F57" w:rsidP="00DA4D50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A4D50">
        <w:rPr>
          <w:rStyle w:val="FootnoteReference"/>
          <w:rFonts w:ascii="Times New Roman" w:hAnsi="Times New Roman" w:cs="Times New Roman"/>
        </w:rPr>
        <w:footnoteRef/>
      </w:r>
      <w:r w:rsidRPr="00DA4D50">
        <w:rPr>
          <w:rFonts w:ascii="Times New Roman" w:hAnsi="Times New Roman" w:cs="Times New Roman"/>
        </w:rPr>
        <w:t xml:space="preserve"> </w:t>
      </w:r>
      <w:r w:rsidRPr="00DA4D50">
        <w:rPr>
          <w:rFonts w:ascii="Times New Roman" w:hAnsi="Times New Roman" w:cs="Times New Roman"/>
        </w:rPr>
        <w:t xml:space="preserve">Cf. Paulo VI, Carta enc. </w:t>
      </w:r>
      <w:r w:rsidRPr="00DA4D50">
        <w:rPr>
          <w:rFonts w:ascii="Times New Roman" w:hAnsi="Times New Roman" w:cs="Times New Roman"/>
          <w:i/>
          <w:lang w:val="fi-FI"/>
        </w:rPr>
        <w:t>Sacerdotalis cælibatus</w:t>
      </w:r>
      <w:r w:rsidRPr="00DA4D50">
        <w:rPr>
          <w:rFonts w:ascii="Times New Roman" w:hAnsi="Times New Roman" w:cs="Times New Roman"/>
        </w:rPr>
        <w:t xml:space="preserve"> (24 de junho de 1967), 79-81;  João Paulo II, </w:t>
      </w:r>
      <w:proofErr w:type="spellStart"/>
      <w:r w:rsidRPr="00DA4D50">
        <w:rPr>
          <w:rFonts w:ascii="Times New Roman" w:hAnsi="Times New Roman" w:cs="Times New Roman"/>
        </w:rPr>
        <w:t>Exort</w:t>
      </w:r>
      <w:proofErr w:type="spellEnd"/>
      <w:r w:rsidRPr="00DA4D50">
        <w:rPr>
          <w:rFonts w:ascii="Times New Roman" w:hAnsi="Times New Roman" w:cs="Times New Roman"/>
        </w:rPr>
        <w:t xml:space="preserve">. ap. pós-sinodal </w:t>
      </w:r>
      <w:r w:rsidRPr="00DA4D50">
        <w:rPr>
          <w:rFonts w:ascii="Times New Roman" w:hAnsi="Times New Roman" w:cs="Times New Roman"/>
          <w:i/>
          <w:lang w:val="fi-FI"/>
        </w:rPr>
        <w:t>Pastores dabo vobis</w:t>
      </w:r>
      <w:r w:rsidRPr="00DA4D50">
        <w:rPr>
          <w:rFonts w:ascii="Times New Roman" w:hAnsi="Times New Roman" w:cs="Times New Roman"/>
        </w:rPr>
        <w:t>, 29.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34"/>
    <w:rsid w:val="002A1980"/>
    <w:rsid w:val="00401F57"/>
    <w:rsid w:val="00D4781F"/>
    <w:rsid w:val="00DA4D50"/>
    <w:rsid w:val="00DE4F54"/>
    <w:rsid w:val="00E02334"/>
    <w:rsid w:val="00E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5B5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02334"/>
    <w:rPr>
      <w:b/>
      <w:bCs/>
    </w:rPr>
  </w:style>
  <w:style w:type="character" w:styleId="Emphasis">
    <w:name w:val="Emphasis"/>
    <w:basedOn w:val="DefaultParagraphFont"/>
    <w:uiPriority w:val="20"/>
    <w:qFormat/>
    <w:rsid w:val="00E023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23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2334"/>
  </w:style>
  <w:style w:type="paragraph" w:styleId="FootnoteText">
    <w:name w:val="footnote text"/>
    <w:basedOn w:val="Normal"/>
    <w:link w:val="FootnoteTextChar"/>
    <w:uiPriority w:val="99"/>
    <w:unhideWhenUsed/>
    <w:rsid w:val="00E02334"/>
  </w:style>
  <w:style w:type="character" w:customStyle="1" w:styleId="FootnoteTextChar">
    <w:name w:val="Footnote Text Char"/>
    <w:basedOn w:val="DefaultParagraphFont"/>
    <w:link w:val="FootnoteText"/>
    <w:uiPriority w:val="99"/>
    <w:rsid w:val="00E02334"/>
  </w:style>
  <w:style w:type="character" w:styleId="FootnoteReference">
    <w:name w:val="footnote reference"/>
    <w:basedOn w:val="DefaultParagraphFont"/>
    <w:uiPriority w:val="99"/>
    <w:unhideWhenUsed/>
    <w:rsid w:val="00E02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02334"/>
    <w:rPr>
      <w:b/>
      <w:bCs/>
    </w:rPr>
  </w:style>
  <w:style w:type="character" w:styleId="Emphasis">
    <w:name w:val="Emphasis"/>
    <w:basedOn w:val="DefaultParagraphFont"/>
    <w:uiPriority w:val="20"/>
    <w:qFormat/>
    <w:rsid w:val="00E023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23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2334"/>
  </w:style>
  <w:style w:type="paragraph" w:styleId="FootnoteText">
    <w:name w:val="footnote text"/>
    <w:basedOn w:val="Normal"/>
    <w:link w:val="FootnoteTextChar"/>
    <w:uiPriority w:val="99"/>
    <w:unhideWhenUsed/>
    <w:rsid w:val="00E02334"/>
  </w:style>
  <w:style w:type="character" w:customStyle="1" w:styleId="FootnoteTextChar">
    <w:name w:val="Footnote Text Char"/>
    <w:basedOn w:val="DefaultParagraphFont"/>
    <w:link w:val="FootnoteText"/>
    <w:uiPriority w:val="99"/>
    <w:rsid w:val="00E02334"/>
  </w:style>
  <w:style w:type="character" w:styleId="FootnoteReference">
    <w:name w:val="footnote reference"/>
    <w:basedOn w:val="DefaultParagraphFont"/>
    <w:uiPriority w:val="99"/>
    <w:unhideWhenUsed/>
    <w:rsid w:val="00E02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1984</Words>
  <Characters>11312</Characters>
  <Application>Microsoft Macintosh Word</Application>
  <DocSecurity>0</DocSecurity>
  <Lines>94</Lines>
  <Paragraphs>26</Paragraphs>
  <ScaleCrop>false</ScaleCrop>
  <Company>Arquidiocese de Cuiabá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Ricardo de Azevedo Júnior</dc:creator>
  <cp:keywords/>
  <dc:description/>
  <cp:lastModifiedBy>Paulo Ricardo de Azevedo Júnior</cp:lastModifiedBy>
  <cp:revision>3</cp:revision>
  <dcterms:created xsi:type="dcterms:W3CDTF">2014-08-11T22:38:00Z</dcterms:created>
  <dcterms:modified xsi:type="dcterms:W3CDTF">2014-08-11T23:23:00Z</dcterms:modified>
</cp:coreProperties>
</file>